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ind w:left="0" w:leftChars="0" w:firstLine="0" w:firstLineChars="0"/>
        <w:jc w:val="left"/>
        <w:rPr>
          <w:rFonts w:hint="eastAsia" w:ascii="黑体" w:hAnsi="黑体" w:eastAsia="黑体" w:cs="黑体"/>
          <w:b w:val="0"/>
          <w:bCs w:val="0"/>
          <w:position w:val="0"/>
          <w:sz w:val="32"/>
          <w:szCs w:val="32"/>
          <w:lang w:val="en-US" w:eastAsia="zh-CN"/>
        </w:rPr>
      </w:pPr>
      <w:r>
        <w:rPr>
          <w:rFonts w:hint="eastAsia" w:ascii="黑体" w:hAnsi="黑体" w:eastAsia="黑体" w:cs="黑体"/>
          <w:b w:val="0"/>
          <w:bCs w:val="0"/>
          <w:position w:val="0"/>
          <w:sz w:val="32"/>
          <w:szCs w:val="32"/>
          <w:lang w:val="en-US" w:eastAsia="zh-CN"/>
        </w:rPr>
        <w:t>附件</w:t>
      </w:r>
    </w:p>
    <w:p>
      <w:pPr>
        <w:pStyle w:val="8"/>
        <w:ind w:left="0" w:leftChars="0" w:firstLine="0" w:firstLineChars="0"/>
        <w:jc w:val="center"/>
        <w:rPr>
          <w:rFonts w:hint="eastAsia"/>
          <w:position w:val="0"/>
          <w:lang w:val="en-US" w:eastAsia="zh-CN"/>
        </w:rPr>
      </w:pPr>
      <w:bookmarkStart w:id="0" w:name="_GoBack"/>
      <w:bookmarkEnd w:id="0"/>
      <w:r>
        <w:rPr>
          <w:rFonts w:hint="eastAsia" w:ascii="宋体" w:hAnsi="宋体" w:eastAsia="宋体" w:cs="宋体"/>
          <w:b/>
          <w:bCs/>
          <w:position w:val="0"/>
          <w:sz w:val="44"/>
          <w:szCs w:val="44"/>
          <w:lang w:val="en-US" w:eastAsia="zh-CN"/>
        </w:rPr>
        <w:t>大数据</w:t>
      </w:r>
      <w:r>
        <w:rPr>
          <w:rFonts w:hint="eastAsia" w:ascii="宋体" w:eastAsia="宋体" w:cs="宋体"/>
          <w:b/>
          <w:bCs/>
          <w:position w:val="0"/>
          <w:sz w:val="44"/>
          <w:szCs w:val="44"/>
          <w:lang w:val="en-US" w:eastAsia="zh-CN"/>
        </w:rPr>
        <w:t>政策</w:t>
      </w:r>
      <w:r>
        <w:rPr>
          <w:rFonts w:hint="eastAsia" w:ascii="宋体" w:hAnsi="宋体" w:eastAsia="宋体" w:cs="宋体"/>
          <w:b/>
          <w:bCs/>
          <w:position w:val="0"/>
          <w:sz w:val="44"/>
          <w:szCs w:val="44"/>
          <w:lang w:val="en-US" w:eastAsia="zh-CN"/>
        </w:rPr>
        <w:t>指引表</w:t>
      </w:r>
    </w:p>
    <w:tbl>
      <w:tblPr>
        <w:tblStyle w:val="7"/>
        <w:tblW w:w="141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9"/>
        <w:gridCol w:w="930"/>
        <w:gridCol w:w="7020"/>
        <w:gridCol w:w="1950"/>
        <w:gridCol w:w="1470"/>
        <w:gridCol w:w="1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3" w:hRule="atLeast"/>
        </w:trPr>
        <w:tc>
          <w:tcPr>
            <w:tcW w:w="1019"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序号</w:t>
            </w:r>
          </w:p>
        </w:tc>
        <w:tc>
          <w:tcPr>
            <w:tcW w:w="930"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方向</w:t>
            </w:r>
          </w:p>
        </w:tc>
        <w:tc>
          <w:tcPr>
            <w:tcW w:w="7020"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具体内容</w:t>
            </w:r>
          </w:p>
        </w:tc>
        <w:tc>
          <w:tcPr>
            <w:tcW w:w="1950"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最高金额</w:t>
            </w:r>
          </w:p>
        </w:tc>
        <w:tc>
          <w:tcPr>
            <w:tcW w:w="1470"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责任单位</w:t>
            </w:r>
          </w:p>
        </w:tc>
        <w:tc>
          <w:tcPr>
            <w:tcW w:w="1716" w:type="dxa"/>
            <w:vAlign w:val="center"/>
          </w:tcPr>
          <w:p>
            <w:pPr>
              <w:jc w:val="center"/>
              <w:rPr>
                <w:rStyle w:val="4"/>
                <w:rFonts w:hint="eastAsia" w:ascii="仿宋_GB2312" w:hAnsi="仿宋_GB2312" w:eastAsia="仿宋_GB2312" w:cs="仿宋_GB2312"/>
                <w:b/>
                <w:bCs/>
                <w:sz w:val="28"/>
                <w:szCs w:val="28"/>
                <w:lang w:val="en-US" w:eastAsia="zh-CN"/>
              </w:rPr>
            </w:pPr>
            <w:r>
              <w:rPr>
                <w:rStyle w:val="4"/>
                <w:rFonts w:hint="eastAsia" w:ascii="仿宋_GB2312" w:hAnsi="仿宋_GB2312" w:eastAsia="仿宋_GB2312" w:cs="仿宋_GB2312"/>
                <w:b/>
                <w:bCs/>
                <w:sz w:val="28"/>
                <w:szCs w:val="28"/>
                <w:lang w:eastAsia="zh-CN"/>
              </w:rPr>
              <w:t>配合单位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w:t>
            </w:r>
          </w:p>
        </w:tc>
        <w:tc>
          <w:tcPr>
            <w:tcW w:w="930" w:type="dxa"/>
            <w:vMerge w:val="restart"/>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创</w:t>
            </w:r>
            <w:r>
              <w:rPr>
                <w:rStyle w:val="4"/>
                <w:rFonts w:hint="eastAsia" w:ascii="宋体" w:eastAsia="宋体" w:cs="宋体"/>
                <w:sz w:val="24"/>
                <w:szCs w:val="24"/>
                <w:lang w:val="en-US" w:eastAsia="zh-CN"/>
              </w:rPr>
              <w:t>新</w:t>
            </w:r>
            <w:r>
              <w:rPr>
                <w:rStyle w:val="4"/>
                <w:rFonts w:hint="eastAsia" w:ascii="宋体" w:hAnsi="宋体" w:eastAsia="宋体" w:cs="宋体"/>
                <w:sz w:val="24"/>
                <w:szCs w:val="24"/>
                <w:lang w:val="en-US" w:eastAsia="zh-CN"/>
              </w:rPr>
              <w:t>体系建设</w:t>
            </w: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与国内外一流大学、科研院所合作共建“大院大所大实验室”。在科研用地上，优先安排科研用地指标，在年度用地计划指标中统筹保障，做到应保尽保，开辟快捷通道，随报随审，快速批报用地；在基础建设上，给予最高3000平方米办公场所支持，场所属政府投资建设的，给予3年内租金减免，场所为非政府投资建设的，给予每月最高40元/平方米补助；在场地装修上，按实际装修经费50%给予一次性补助，最高1000万元；在设备采购上，原则采取“政府承建，企业采购”的模式，每年最高给予1000万元的补助，3年累计补助最高3000万元；在机构运营上，每年给予最高1500万元的实际运营费用补助，3年累计补助最高4500万元。对促进我市大数据产业发展具有特别重大意义的研发机构，按相关程序报</w:t>
            </w:r>
            <w:r>
              <w:rPr>
                <w:rStyle w:val="4"/>
                <w:rFonts w:hint="eastAsia" w:ascii="宋体" w:eastAsia="宋体" w:cs="宋体"/>
                <w:sz w:val="24"/>
                <w:szCs w:val="24"/>
                <w:lang w:val="en-US" w:eastAsia="zh-CN"/>
              </w:rPr>
              <w:t>市</w:t>
            </w:r>
            <w:r>
              <w:rPr>
                <w:rStyle w:val="4"/>
                <w:rFonts w:hint="eastAsia" w:ascii="宋体" w:hAnsi="宋体" w:eastAsia="宋体" w:cs="宋体"/>
                <w:sz w:val="24"/>
                <w:szCs w:val="24"/>
                <w:lang w:val="en-US" w:eastAsia="zh-CN"/>
              </w:rPr>
              <w:t>政府同意后，可给予特别支持。</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根据实际建设情况而定</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市发改委</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市科技局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市教育局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市国土局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市VR办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51"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2</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鼓励入驻企业向高校、科研院所、龙头企业等单位购买科技成果或技术支持，按省市购买科技成果相关文件要求给予补助。</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50万元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市科技局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市教育局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市VR办</w:t>
            </w:r>
            <w:r>
              <w:rPr>
                <w:rStyle w:val="4"/>
                <w:rFonts w:hint="eastAsia" w:ascii="宋体" w:hAnsi="宋体" w:eastAsia="宋体" w:cs="宋体"/>
                <w:sz w:val="24"/>
                <w:szCs w:val="24"/>
                <w:lang w:val="en-US" w:eastAsia="zh-CN"/>
              </w:rPr>
              <w:br w:type="textWrapping"/>
            </w: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8"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3</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对在园区工作的团体或个人获得大数据相关发明专利给予奖励。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市科技局</w:t>
            </w:r>
            <w:r>
              <w:rPr>
                <w:rStyle w:val="4"/>
                <w:rFonts w:hint="eastAsia" w:ascii="宋体" w:hAnsi="宋体" w:eastAsia="宋体" w:cs="宋体"/>
                <w:sz w:val="24"/>
                <w:szCs w:val="24"/>
                <w:lang w:val="en-US" w:eastAsia="zh-CN"/>
              </w:rPr>
              <w:br w:type="textWrapping"/>
            </w: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38"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4</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对获得大数据相关的中国专利金奖和中国专利优秀奖给予奖励。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30万元/10万元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市科技局</w:t>
            </w:r>
            <w:r>
              <w:rPr>
                <w:rStyle w:val="4"/>
                <w:rFonts w:hint="eastAsia" w:ascii="宋体" w:hAnsi="宋体" w:eastAsia="宋体" w:cs="宋体"/>
                <w:sz w:val="24"/>
                <w:szCs w:val="24"/>
                <w:lang w:val="en-US" w:eastAsia="zh-CN"/>
              </w:rPr>
              <w:br w:type="textWrapping"/>
            </w: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7"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5</w:t>
            </w:r>
          </w:p>
        </w:tc>
        <w:tc>
          <w:tcPr>
            <w:tcW w:w="930" w:type="dxa"/>
            <w:vMerge w:val="restart"/>
            <w:vAlign w:val="center"/>
          </w:tcPr>
          <w:p>
            <w:pPr>
              <w:pStyle w:val="8"/>
              <w:tabs>
                <w:tab w:val="left" w:pos="507"/>
              </w:tabs>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ab/>
            </w:r>
            <w:r>
              <w:rPr>
                <w:rStyle w:val="4"/>
                <w:rFonts w:hint="eastAsia" w:ascii="宋体" w:hAnsi="宋体" w:eastAsia="宋体" w:cs="宋体"/>
                <w:sz w:val="24"/>
                <w:szCs w:val="24"/>
                <w:lang w:val="en-US" w:eastAsia="zh-CN"/>
              </w:rPr>
              <w:t>人才队伍建设</w:t>
            </w:r>
          </w:p>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在园区内建立教育实践、实训基地和培训机构等人才培养机构，根据培养人才规模每年给予人才培养机构奖励。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500万元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市经信委</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市教育局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2"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6</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双一流”高校、境外著名大学、国家级研究机构全日制硕士、博士应届毕业生到园区大数据相关企业、科研机构工作，与企业签订三年以上劳动合同，经认定为福州市紧缺急需毕业生的，落地一年后分别给予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3万元/5万元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1"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7</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对全日制本科、硕士、博士应届毕业生到园区大数据相关企业、科研机构工作，与企业或科研机构签订三年以上劳动合同的，落地一年后按学历分别给予交通补助（每家大数据相关企业、科研机构获取补助人数累计最高100人）</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本科1000元/月、硕士2000元/月、博士3000元/月</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8</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鼓励入驻企业引进高层次管理人才、技术人才，对经认定为高层次A、B、C类人才的，落地后按照人才层次给予奖励。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200万元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9</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对园区内符合相关条件的各类人才，其年缴纳工薪个人所得税不低于3万元的，按其上一年度所缴工薪个人所得税地方留成部分的50%予以补助。</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按个税情况而定</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86"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10</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支持高层次引进人才申购福州市人才公寓，经认定符合我市相关人才住房保障政策的高层次人才，可享受人才公寓、住房补助、社会租赁住房等保障，并鼓励入驻园区各类人才申购限价房。具体以市政府出台政策为准，本着“就高从优不重复”的原则适用新的政策。</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按实际情况而定</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0"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11</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对园区企业引进的，经人才主管部门认定的高层次人才，由园区主管部门审核后，其配偶依据《福州市引进高层次人才配偶随迁安置暂行办法（试行）》，采取“在双向选择基础上就业”或“发放配偶随迁安置补助”方式解决随迁安置问题；其义务教育阶段及学龄前随迁子女由福州市教育部门统筹安排市区或长乐区优质学校入学入园。</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按实际情况而定</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市委人才办</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市人社局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市教育局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92"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12</w:t>
            </w:r>
          </w:p>
        </w:tc>
        <w:tc>
          <w:tcPr>
            <w:tcW w:w="930" w:type="dxa"/>
            <w:vMerge w:val="restart"/>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人才队伍建设</w:t>
            </w: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在市里现有的人才奖励政策基础上，对获聘首席特聘科学家，市政府另给予100万元奖励；对获聘首席专家，市政府另给予80万元奖励</w:t>
            </w:r>
            <w:r>
              <w:rPr>
                <w:rStyle w:val="4"/>
                <w:rFonts w:hint="eastAsia" w:ascii="宋体" w:eastAsia="宋体" w:cs="宋体"/>
                <w:sz w:val="24"/>
                <w:szCs w:val="24"/>
                <w:lang w:val="en-US" w:eastAsia="zh-CN"/>
              </w:rPr>
              <w:t>；</w:t>
            </w:r>
            <w:r>
              <w:rPr>
                <w:rStyle w:val="4"/>
                <w:rFonts w:hint="eastAsia" w:ascii="宋体" w:hAnsi="宋体" w:eastAsia="宋体" w:cs="宋体"/>
                <w:sz w:val="24"/>
                <w:szCs w:val="24"/>
                <w:lang w:val="en-US" w:eastAsia="zh-CN"/>
              </w:rPr>
              <w:t>对获聘特聘专家，市政府另给予50万元奖励。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100万元/80万元/50万元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市“智慧福州”管理服务中心</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2"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13</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鼓励特聘专家作为负责人组织研发或创业团队（成员不少于5人）落地福州，以特聘专家为法人或第一大股东的企业或研究院，根据落地项目的情况，给予研发/创业基金支持。</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5000万元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市“智慧福州”管理服务中心</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14</w:t>
            </w:r>
          </w:p>
        </w:tc>
        <w:tc>
          <w:tcPr>
            <w:tcW w:w="930" w:type="dxa"/>
            <w:vMerge w:val="restart"/>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企业引培机制</w:t>
            </w: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试行委托招商，每年安排专项经费，鼓励第三方机构引入企业入驻园区。</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500万元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市投促局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8"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15</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根据引入企业的规模、质量以及效益等情况,按实际到位资金（到位资金不低于1000万元）的1%给予第三方机构奖励。</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1000万元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市投促局</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2"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16</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鼓励本市企业优先采购园区大数据相关企业的大数据解决方案、服务及产品，以推动我市智慧城市、</w:t>
            </w:r>
            <w:r>
              <w:rPr>
                <w:rStyle w:val="4"/>
                <w:rFonts w:hint="eastAsia" w:ascii="宋体" w:eastAsia="宋体" w:cs="宋体"/>
                <w:sz w:val="24"/>
                <w:szCs w:val="24"/>
                <w:lang w:val="en-US" w:eastAsia="zh-CN"/>
              </w:rPr>
              <w:t>“</w:t>
            </w:r>
            <w:r>
              <w:rPr>
                <w:rStyle w:val="4"/>
                <w:rFonts w:hint="eastAsia" w:ascii="宋体" w:hAnsi="宋体" w:eastAsia="宋体" w:cs="宋体"/>
                <w:sz w:val="24"/>
                <w:szCs w:val="24"/>
                <w:lang w:val="en-US" w:eastAsia="zh-CN"/>
              </w:rPr>
              <w:t>数字福州</w:t>
            </w:r>
            <w:r>
              <w:rPr>
                <w:rStyle w:val="4"/>
                <w:rFonts w:hint="eastAsia" w:ascii="宋体" w:eastAsia="宋体" w:cs="宋体"/>
                <w:sz w:val="24"/>
                <w:szCs w:val="24"/>
                <w:lang w:val="en-US" w:eastAsia="zh-CN"/>
              </w:rPr>
              <w:t>”</w:t>
            </w:r>
            <w:r>
              <w:rPr>
                <w:rStyle w:val="4"/>
                <w:rFonts w:hint="eastAsia" w:ascii="宋体" w:hAnsi="宋体" w:eastAsia="宋体" w:cs="宋体"/>
                <w:sz w:val="24"/>
                <w:szCs w:val="24"/>
                <w:lang w:val="en-US" w:eastAsia="zh-CN"/>
              </w:rPr>
              <w:t>建设，按实际购买金额的10%给予购买方补助。</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300万元</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市经信委</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市“智慧福州”管理服务中心</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03" w:hRule="atLeast"/>
        </w:trPr>
        <w:tc>
          <w:tcPr>
            <w:tcW w:w="1019"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17</w:t>
            </w:r>
          </w:p>
        </w:tc>
        <w:tc>
          <w:tcPr>
            <w:tcW w:w="930" w:type="dxa"/>
            <w:vMerge w:val="continue"/>
            <w:vAlign w:val="center"/>
          </w:tcPr>
          <w:p>
            <w:pPr>
              <w:pStyle w:val="8"/>
              <w:ind w:left="0" w:leftChars="0" w:firstLine="0" w:firstLineChars="0"/>
              <w:jc w:val="center"/>
              <w:rPr>
                <w:rStyle w:val="4"/>
                <w:rFonts w:hint="eastAsia" w:ascii="宋体" w:hAnsi="宋体" w:eastAsia="宋体" w:cs="宋体"/>
                <w:sz w:val="24"/>
                <w:szCs w:val="24"/>
                <w:lang w:val="en-US" w:eastAsia="zh-CN"/>
              </w:rPr>
            </w:pPr>
          </w:p>
        </w:tc>
        <w:tc>
          <w:tcPr>
            <w:tcW w:w="7020" w:type="dxa"/>
            <w:vAlign w:val="center"/>
          </w:tcPr>
          <w:p>
            <w:pPr>
              <w:pStyle w:val="8"/>
              <w:ind w:left="0" w:leftChars="0" w:firstLine="0" w:firstLineChars="0"/>
              <w:jc w:val="left"/>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将入驻园区企业纳入我市征信体系，予以信用奖励，运用于智慧城市建设等项目招投标的评级管理。</w:t>
            </w:r>
          </w:p>
        </w:tc>
        <w:tc>
          <w:tcPr>
            <w:tcW w:w="195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按实际情况而定</w:t>
            </w:r>
          </w:p>
        </w:tc>
        <w:tc>
          <w:tcPr>
            <w:tcW w:w="1470"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长乐区政府</w:t>
            </w:r>
          </w:p>
        </w:tc>
        <w:tc>
          <w:tcPr>
            <w:tcW w:w="1716" w:type="dxa"/>
            <w:vAlign w:val="center"/>
          </w:tcPr>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市“智慧福州”管理服务中心</w:t>
            </w:r>
          </w:p>
          <w:p>
            <w:pPr>
              <w:pStyle w:val="8"/>
              <w:ind w:left="0" w:leftChars="0" w:firstLine="0" w:firstLineChars="0"/>
              <w:jc w:val="center"/>
              <w:rPr>
                <w:rStyle w:val="4"/>
                <w:rFonts w:hint="eastAsia" w:ascii="宋体" w:hAnsi="宋体" w:eastAsia="宋体" w:cs="宋体"/>
                <w:sz w:val="24"/>
                <w:szCs w:val="24"/>
                <w:lang w:val="en-US" w:eastAsia="zh-CN"/>
              </w:rPr>
            </w:pPr>
            <w:r>
              <w:rPr>
                <w:rStyle w:val="4"/>
                <w:rFonts w:hint="eastAsia" w:ascii="宋体" w:hAnsi="宋体" w:eastAsia="宋体" w:cs="宋体"/>
                <w:sz w:val="24"/>
                <w:szCs w:val="24"/>
                <w:lang w:val="en-US" w:eastAsia="zh-CN"/>
              </w:rPr>
              <w:t>市财政局</w:t>
            </w:r>
          </w:p>
        </w:tc>
      </w:tr>
    </w:tbl>
    <w:p>
      <w:pPr>
        <w:pStyle w:val="8"/>
        <w:ind w:left="0" w:leftChars="0" w:firstLine="0" w:firstLineChars="0"/>
        <w:rPr>
          <w:rFonts w:hint="eastAsia" w:ascii="仿宋_GB2312" w:hAnsi="仿宋_GB2312" w:eastAsia="仿宋_GB2312" w:cs="仿宋_GB2312"/>
          <w:position w:val="0"/>
          <w:lang w:val="en-US" w:eastAsia="zh-CN"/>
        </w:rPr>
      </w:pPr>
    </w:p>
    <w:p>
      <w:pPr>
        <w:pStyle w:val="8"/>
        <w:ind w:firstLine="643"/>
        <w:rPr>
          <w:rFonts w:hint="eastAsia" w:ascii="仿宋_GB2312" w:hAnsi="仿宋_GB2312" w:eastAsia="仿宋_GB2312" w:cs="仿宋_GB2312"/>
          <w:position w:val="0"/>
          <w:lang w:val="en-US" w:eastAsia="zh-CN"/>
        </w:rPr>
      </w:pPr>
    </w:p>
    <w:p>
      <w:pPr>
        <w:rPr>
          <w:rFonts w:hint="eastAsia" w:ascii="仿宋_GB2312" w:hAnsi="仿宋_GB2312" w:eastAsia="仿宋_GB2312" w:cs="仿宋_GB2312"/>
        </w:rPr>
      </w:pPr>
    </w:p>
    <w:sectPr>
      <w:headerReference r:id="rId3" w:type="default"/>
      <w:footerReference r:id="rId4" w:type="default"/>
      <w:pgSz w:w="16838" w:h="11906" w:orient="landscape"/>
      <w:pgMar w:top="1803" w:right="1440" w:bottom="1803" w:left="1440" w:header="851" w:footer="992" w:gutter="0"/>
      <w:pgBorders>
        <w:top w:val="none" w:color="auto" w:sz="0" w:space="0"/>
        <w:left w:val="none" w:color="auto" w:sz="0" w:space="0"/>
        <w:bottom w:val="none" w:color="auto" w:sz="0" w:space="0"/>
        <w:right w:val="none" w:color="auto" w:sz="0" w:space="0"/>
      </w:pgBorders>
      <w:pgNumType w:fmt="decimal" w:start="8"/>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altName w:val="Shruti"/>
    <w:panose1 w:val="02040503050406030204"/>
    <w:charset w:val="00"/>
    <w:family w:val="roman"/>
    <w:pitch w:val="default"/>
    <w:sig w:usb0="00000000" w:usb1="00000000" w:usb2="00000000" w:usb3="00000000" w:csb0="0000019F" w:csb1="00000000"/>
  </w:font>
  <w:font w:name="Calibri">
    <w:altName w:val="Arial Rounded MT Bold"/>
    <w:panose1 w:val="020F0502020204030204"/>
    <w:charset w:val="00"/>
    <w:family w:val="swiss"/>
    <w:pitch w:val="default"/>
    <w:sig w:usb0="00000000" w:usb1="00000000" w:usb2="00000001" w:usb3="00000000" w:csb0="0000019F" w:csb1="00000000"/>
  </w:font>
  <w:font w:name="Shruti">
    <w:panose1 w:val="02000500000000000000"/>
    <w:charset w:val="00"/>
    <w:family w:val="auto"/>
    <w:pitch w:val="default"/>
    <w:sig w:usb0="00040000" w:usb1="00000000" w:usb2="00000000" w:usb3="00000000" w:csb0="00000000" w:csb1="00000000"/>
  </w:font>
  <w:font w:name="Arial Rounded MT Bold">
    <w:panose1 w:val="020F0704030504030204"/>
    <w:charset w:val="00"/>
    <w:family w:val="auto"/>
    <w:pitch w:val="default"/>
    <w:sig w:usb0="00000003" w:usb1="00000000" w:usb2="00000000" w:usb3="00000000" w:csb0="2000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楷体">
    <w:altName w:val="楷体_GB2312"/>
    <w:panose1 w:val="02010609060101010101"/>
    <w:charset w:val="86"/>
    <w:family w:val="auto"/>
    <w:pitch w:val="default"/>
    <w:sig w:usb0="00000000" w:usb1="00000000" w:usb2="00000016" w:usb3="00000000" w:csb0="00040001"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posOffset>4247515</wp:posOffset>
              </wp:positionH>
              <wp:positionV relativeFrom="paragraph">
                <wp:posOffset>-236855</wp:posOffset>
              </wp:positionV>
              <wp:extent cx="843915" cy="374650"/>
              <wp:effectExtent l="0" t="0" r="0" b="0"/>
              <wp:wrapNone/>
              <wp:docPr id="1" name="文本框 1"/>
              <wp:cNvGraphicFramePr/>
              <a:graphic xmlns:a="http://schemas.openxmlformats.org/drawingml/2006/main">
                <a:graphicData uri="http://schemas.microsoft.com/office/word/2010/wordprocessingShape">
                  <wps:wsp>
                    <wps:cNvSpPr txBox="1"/>
                    <wps:spPr>
                      <a:xfrm>
                        <a:off x="0" y="0"/>
                        <a:ext cx="843915" cy="37465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fldChar w:fldCharType="begin"/>
                          </w:r>
                          <w:r>
                            <w:rPr>
                              <w:rFonts w:hint="eastAsia" w:ascii="仿宋_GB2312" w:hAnsi="仿宋_GB2312" w:eastAsia="仿宋_GB2312" w:cs="仿宋_GB2312"/>
                              <w:sz w:val="30"/>
                              <w:szCs w:val="30"/>
                              <w:lang w:eastAsia="zh-CN"/>
                            </w:rPr>
                            <w:instrText xml:space="preserve"> PAGE  \* MERGEFORMAT </w:instrText>
                          </w:r>
                          <w:r>
                            <w:rPr>
                              <w:rFonts w:hint="eastAsia" w:ascii="仿宋_GB2312" w:hAnsi="仿宋_GB2312" w:eastAsia="仿宋_GB2312" w:cs="仿宋_GB2312"/>
                              <w:sz w:val="30"/>
                              <w:szCs w:val="30"/>
                              <w:lang w:eastAsia="zh-CN"/>
                            </w:rPr>
                            <w:fldChar w:fldCharType="separate"/>
                          </w:r>
                          <w:r>
                            <w:rPr>
                              <w:rFonts w:hint="eastAsia" w:ascii="仿宋_GB2312" w:hAnsi="仿宋_GB2312" w:eastAsia="仿宋_GB2312" w:cs="仿宋_GB2312"/>
                              <w:sz w:val="30"/>
                              <w:szCs w:val="30"/>
                            </w:rPr>
                            <w:t>1</w:t>
                          </w:r>
                          <w:r>
                            <w:rPr>
                              <w:rFonts w:hint="eastAsia" w:ascii="仿宋_GB2312" w:hAnsi="仿宋_GB2312" w:eastAsia="仿宋_GB2312" w:cs="仿宋_GB2312"/>
                              <w:sz w:val="30"/>
                              <w:szCs w:val="30"/>
                              <w:lang w:eastAsia="zh-CN"/>
                            </w:rPr>
                            <w:fldChar w:fldCharType="end"/>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t>—</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34.45pt;margin-top:-18.65pt;height:29.5pt;width:66.45pt;mso-position-horizontal-relative:margin;z-index:251658240;mso-width-relative:page;mso-height-relative:page;" filled="f" stroked="f" coordsize="21600,21600" o:gfxdata="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">
              <v:fill on="f" focussize="0,0"/>
              <v:stroke on="f" weight="0.5pt"/>
              <v:imagedata o:title=""/>
              <o:lock v:ext="edit" aspectratio="f"/>
              <v:textbox inset="0mm,0mm,0mm,0mm">
                <w:txbxContent>
                  <w:p>
                    <w:pPr>
                      <w:snapToGrid w:val="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fldChar w:fldCharType="begin"/>
                    </w:r>
                    <w:r>
                      <w:rPr>
                        <w:rFonts w:hint="eastAsia" w:ascii="仿宋_GB2312" w:hAnsi="仿宋_GB2312" w:eastAsia="仿宋_GB2312" w:cs="仿宋_GB2312"/>
                        <w:sz w:val="30"/>
                        <w:szCs w:val="30"/>
                        <w:lang w:eastAsia="zh-CN"/>
                      </w:rPr>
                      <w:instrText xml:space="preserve"> PAGE  \* MERGEFORMAT </w:instrText>
                    </w:r>
                    <w:r>
                      <w:rPr>
                        <w:rFonts w:hint="eastAsia" w:ascii="仿宋_GB2312" w:hAnsi="仿宋_GB2312" w:eastAsia="仿宋_GB2312" w:cs="仿宋_GB2312"/>
                        <w:sz w:val="30"/>
                        <w:szCs w:val="30"/>
                        <w:lang w:eastAsia="zh-CN"/>
                      </w:rPr>
                      <w:fldChar w:fldCharType="separate"/>
                    </w:r>
                    <w:r>
                      <w:rPr>
                        <w:rFonts w:hint="eastAsia" w:ascii="仿宋_GB2312" w:hAnsi="仿宋_GB2312" w:eastAsia="仿宋_GB2312" w:cs="仿宋_GB2312"/>
                        <w:sz w:val="30"/>
                        <w:szCs w:val="30"/>
                      </w:rPr>
                      <w:t>1</w:t>
                    </w:r>
                    <w:r>
                      <w:rPr>
                        <w:rFonts w:hint="eastAsia" w:ascii="仿宋_GB2312" w:hAnsi="仿宋_GB2312" w:eastAsia="仿宋_GB2312" w:cs="仿宋_GB2312"/>
                        <w:sz w:val="30"/>
                        <w:szCs w:val="30"/>
                        <w:lang w:eastAsia="zh-CN"/>
                      </w:rPr>
                      <w:fldChar w:fldCharType="end"/>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lang w:eastAsia="zh-CN"/>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idowControl w:val="0"/>
      <w:pBdr>
        <w:top w:val="none" w:color="auto" w:sz="0" w:space="1"/>
        <w:left w:val="none" w:color="auto" w:sz="0" w:space="4"/>
        <w:bottom w:val="none" w:color="auto" w:sz="0" w:space="1"/>
        <w:right w:val="none" w:color="auto" w:sz="0" w:space="4"/>
        <w:between w:val="none" w:color="auto" w:sz="0" w:space="0"/>
      </w:pBdr>
      <w:snapToGrid w:val="0"/>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revisionView w:markup="0"/>
  <w:documentProtection w:enforcement="0"/>
  <w:defaultTabStop w:val="420"/>
  <w:drawingGridVerticalSpacing w:val="159"/>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3B7C29"/>
    <w:rsid w:val="4CBC0441"/>
    <w:rsid w:val="643B7C29"/>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paragraph" w:customStyle="1" w:styleId="8">
    <w:name w:val="经委正文"/>
    <w:basedOn w:val="1"/>
    <w:qFormat/>
    <w:uiPriority w:val="0"/>
    <w:pPr>
      <w:topLinePunct/>
      <w:adjustRightInd w:val="0"/>
      <w:ind w:firstLine="200" w:firstLineChars="200"/>
    </w:pPr>
    <w:rPr>
      <w:rFonts w:ascii="仿宋_GB2312" w:hAnsi="宋体" w:eastAsia="仿宋_GB2312" w:cs="宋体"/>
      <w:color w:val="000000"/>
      <w:position w:val="6"/>
      <w:sz w:val="32"/>
      <w:szCs w:val="30"/>
      <w:lang w:val="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福州市直政府机关单位</Company>
  <Pages>1</Pages>
  <Words>0</Words>
  <Characters>0</Characters>
  <Lines>0</Lines>
  <Paragraphs>0</Paragraphs>
  <ScaleCrop>false</ScaleCrop>
  <LinksUpToDate>false</LinksUpToDate>
  <CharactersWithSpaces>0</CharactersWithSpaces>
  <Application>WPS Office_10.8.0.5950_F1E327BC-269C-435d-A152-05C5408002CA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2017-12-12T09:10:00Z</dcterms:created>
  <dc:creator>朱稳贵</dc:creator>
  <cp:lastModifiedBy>打字室</cp:lastModifiedBy>
  <dcterms:modified xsi:type="dcterms:W3CDTF">2017-12-13T01:00:49Z</dcterms:modified>
  <dc:title>附件</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2052-10.8.0.5950</vt:lpwstr>
  </property>
</Properties>
</file>