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3070" w:rsidRPr="00333070" w:rsidRDefault="00333070" w:rsidP="00333070">
      <w:pPr>
        <w:spacing w:line="600" w:lineRule="exact"/>
        <w:jc w:val="center"/>
        <w:rPr>
          <w:rFonts w:ascii="黑体" w:eastAsia="黑体" w:hAnsi="黑体" w:cs="黑体" w:hint="eastAsia"/>
          <w:bCs/>
          <w:sz w:val="44"/>
          <w:szCs w:val="36"/>
          <w:lang w:eastAsia="zh-CN"/>
        </w:rPr>
      </w:pPr>
      <w:r w:rsidRPr="00333070">
        <w:rPr>
          <w:rFonts w:ascii="黑体" w:eastAsia="黑体" w:hAnsi="黑体" w:cs="黑体" w:hint="eastAsia"/>
          <w:bCs/>
          <w:sz w:val="44"/>
          <w:szCs w:val="36"/>
          <w:lang w:eastAsia="zh-CN"/>
        </w:rPr>
        <w:t>福州市城市商业网点规划（2021-2035年）</w:t>
      </w:r>
    </w:p>
    <w:p w:rsidR="00333070" w:rsidRPr="00333070" w:rsidRDefault="00333070" w:rsidP="00333070">
      <w:pPr>
        <w:spacing w:line="600" w:lineRule="exact"/>
        <w:jc w:val="center"/>
        <w:rPr>
          <w:rFonts w:ascii="黑体" w:eastAsia="黑体" w:hAnsi="黑体" w:cs="黑体" w:hint="eastAsia"/>
          <w:bCs/>
          <w:sz w:val="44"/>
          <w:szCs w:val="36"/>
          <w:lang w:eastAsia="zh-CN"/>
        </w:rPr>
      </w:pPr>
      <w:r w:rsidRPr="00333070">
        <w:rPr>
          <w:rFonts w:ascii="黑体" w:eastAsia="黑体" w:hAnsi="黑体" w:cs="黑体" w:hint="eastAsia"/>
          <w:bCs/>
          <w:sz w:val="44"/>
          <w:szCs w:val="36"/>
          <w:lang w:eastAsia="zh-CN"/>
        </w:rPr>
        <w:t>规划公示</w:t>
      </w:r>
    </w:p>
    <w:p w:rsidR="004A4C3B" w:rsidRPr="00137E1D" w:rsidRDefault="00EF748F">
      <w:pPr>
        <w:spacing w:line="600" w:lineRule="exact"/>
        <w:ind w:firstLineChars="200" w:firstLine="720"/>
        <w:rPr>
          <w:rFonts w:ascii="黑体" w:eastAsia="黑体" w:hAnsi="黑体" w:cs="黑体"/>
          <w:bCs/>
          <w:sz w:val="36"/>
          <w:szCs w:val="36"/>
          <w:lang w:eastAsia="zh-CN"/>
        </w:rPr>
      </w:pPr>
      <w:r>
        <w:rPr>
          <w:rFonts w:ascii="黑体" w:eastAsia="黑体" w:hAnsi="黑体" w:cs="黑体" w:hint="eastAsia"/>
          <w:bCs/>
          <w:sz w:val="36"/>
          <w:szCs w:val="36"/>
          <w:lang w:eastAsia="zh-CN"/>
        </w:rPr>
        <w:t>一</w:t>
      </w:r>
      <w:r w:rsidR="00374D13" w:rsidRPr="00137E1D">
        <w:rPr>
          <w:rFonts w:ascii="黑体" w:eastAsia="黑体" w:hAnsi="黑体" w:cs="黑体" w:hint="eastAsia"/>
          <w:bCs/>
          <w:sz w:val="36"/>
          <w:szCs w:val="36"/>
          <w:lang w:eastAsia="zh-CN"/>
        </w:rPr>
        <w:t>、范围和对象</w:t>
      </w:r>
    </w:p>
    <w:p w:rsidR="004A4C3B" w:rsidRPr="00137E1D" w:rsidRDefault="00374D13">
      <w:pPr>
        <w:spacing w:line="600" w:lineRule="exact"/>
        <w:ind w:firstLineChars="200" w:firstLine="723"/>
        <w:jc w:val="both"/>
        <w:rPr>
          <w:rFonts w:ascii="仿宋_GB2312" w:eastAsia="仿宋_GB2312"/>
          <w:bCs/>
          <w:kern w:val="2"/>
          <w:sz w:val="36"/>
          <w:szCs w:val="36"/>
          <w:lang w:eastAsia="zh-CN"/>
        </w:rPr>
      </w:pPr>
      <w:r w:rsidRPr="00137E1D">
        <w:rPr>
          <w:rFonts w:ascii="楷体_GB2312" w:eastAsia="楷体_GB2312" w:hint="eastAsia"/>
          <w:b/>
          <w:kern w:val="2"/>
          <w:sz w:val="36"/>
          <w:szCs w:val="36"/>
          <w:lang w:eastAsia="zh-CN"/>
        </w:rPr>
        <w:t>（一）规划范围。</w:t>
      </w:r>
      <w:r w:rsidRPr="00137E1D">
        <w:rPr>
          <w:rFonts w:ascii="仿宋_GB2312" w:eastAsia="仿宋_GB2312" w:hint="eastAsia"/>
          <w:bCs/>
          <w:kern w:val="2"/>
          <w:sz w:val="36"/>
          <w:szCs w:val="36"/>
          <w:lang w:eastAsia="zh-CN"/>
        </w:rPr>
        <w:t>与《福州市国土空间总体规划（2021-2035）》划定的中心城区范围一致，重点进行空间布局，同时对市域层面商业设施</w:t>
      </w:r>
      <w:r w:rsidR="009C40ED" w:rsidRPr="00137E1D">
        <w:rPr>
          <w:rFonts w:ascii="仿宋_GB2312" w:eastAsia="仿宋_GB2312" w:hint="eastAsia"/>
          <w:bCs/>
          <w:kern w:val="2"/>
          <w:sz w:val="36"/>
          <w:szCs w:val="36"/>
          <w:lang w:eastAsia="zh-CN"/>
        </w:rPr>
        <w:t>体系、</w:t>
      </w:r>
      <w:r w:rsidRPr="00137E1D">
        <w:rPr>
          <w:rFonts w:ascii="仿宋_GB2312" w:eastAsia="仿宋_GB2312" w:hint="eastAsia"/>
          <w:bCs/>
          <w:kern w:val="2"/>
          <w:sz w:val="36"/>
          <w:szCs w:val="36"/>
          <w:lang w:eastAsia="zh-CN"/>
        </w:rPr>
        <w:t>商业发展</w:t>
      </w:r>
      <w:r w:rsidR="009C40ED" w:rsidRPr="00137E1D">
        <w:rPr>
          <w:rFonts w:ascii="仿宋_GB2312" w:eastAsia="仿宋_GB2312" w:hint="eastAsia"/>
          <w:bCs/>
          <w:kern w:val="2"/>
          <w:sz w:val="36"/>
          <w:szCs w:val="36"/>
          <w:lang w:eastAsia="zh-CN"/>
        </w:rPr>
        <w:t>定位、特色</w:t>
      </w:r>
      <w:r w:rsidRPr="00137E1D">
        <w:rPr>
          <w:rFonts w:ascii="仿宋_GB2312" w:eastAsia="仿宋_GB2312" w:hint="eastAsia"/>
          <w:bCs/>
          <w:kern w:val="2"/>
          <w:sz w:val="36"/>
          <w:szCs w:val="36"/>
          <w:lang w:eastAsia="zh-CN"/>
        </w:rPr>
        <w:t>、大型零售规模和具体发展措施等提出明确的指引。</w:t>
      </w:r>
    </w:p>
    <w:p w:rsidR="004A4C3B" w:rsidRDefault="00374D13">
      <w:pPr>
        <w:spacing w:line="600" w:lineRule="exact"/>
        <w:ind w:firstLineChars="200" w:firstLine="723"/>
        <w:jc w:val="both"/>
        <w:rPr>
          <w:rFonts w:ascii="仿宋_GB2312" w:eastAsia="仿宋_GB2312"/>
          <w:bCs/>
          <w:kern w:val="2"/>
          <w:sz w:val="36"/>
          <w:szCs w:val="36"/>
          <w:lang w:eastAsia="zh-CN"/>
        </w:rPr>
      </w:pPr>
      <w:r w:rsidRPr="00137E1D">
        <w:rPr>
          <w:rFonts w:ascii="楷体_GB2312" w:eastAsia="楷体_GB2312" w:hint="eastAsia"/>
          <w:b/>
          <w:kern w:val="2"/>
          <w:sz w:val="36"/>
          <w:szCs w:val="36"/>
          <w:lang w:eastAsia="zh-CN"/>
        </w:rPr>
        <w:t>（二）规划对象。</w:t>
      </w:r>
      <w:r w:rsidRPr="00137E1D">
        <w:rPr>
          <w:rFonts w:ascii="仿宋_GB2312" w:eastAsia="仿宋_GB2312" w:hint="eastAsia"/>
          <w:bCs/>
          <w:kern w:val="2"/>
          <w:sz w:val="36"/>
          <w:szCs w:val="36"/>
          <w:lang w:eastAsia="zh-CN"/>
        </w:rPr>
        <w:t>涵盖</w:t>
      </w:r>
      <w:r w:rsidRPr="00137E1D">
        <w:rPr>
          <w:rFonts w:ascii="仿宋_GB2312" w:eastAsia="仿宋_GB2312" w:hint="eastAsia"/>
          <w:b/>
          <w:bCs/>
          <w:kern w:val="2"/>
          <w:sz w:val="36"/>
          <w:szCs w:val="36"/>
          <w:lang w:eastAsia="zh-CN"/>
        </w:rPr>
        <w:t>城市商业中心体系</w:t>
      </w:r>
      <w:r w:rsidRPr="00137E1D">
        <w:rPr>
          <w:rFonts w:ascii="仿宋_GB2312" w:eastAsia="仿宋_GB2312" w:hint="eastAsia"/>
          <w:bCs/>
          <w:kern w:val="2"/>
          <w:sz w:val="36"/>
          <w:szCs w:val="36"/>
          <w:lang w:eastAsia="zh-CN"/>
        </w:rPr>
        <w:t>（含社区商业和大型零售商业网点布局），</w:t>
      </w:r>
      <w:r w:rsidRPr="00137E1D">
        <w:rPr>
          <w:rFonts w:ascii="仿宋_GB2312" w:eastAsia="仿宋_GB2312" w:hint="eastAsia"/>
          <w:b/>
          <w:bCs/>
          <w:kern w:val="2"/>
          <w:sz w:val="36"/>
          <w:szCs w:val="36"/>
          <w:lang w:eastAsia="zh-CN"/>
        </w:rPr>
        <w:t>商品交易市场</w:t>
      </w:r>
      <w:r w:rsidRPr="00137E1D">
        <w:rPr>
          <w:rFonts w:ascii="仿宋_GB2312" w:eastAsia="仿宋_GB2312" w:hint="eastAsia"/>
          <w:bCs/>
          <w:kern w:val="2"/>
          <w:sz w:val="36"/>
          <w:szCs w:val="36"/>
          <w:lang w:eastAsia="zh-CN"/>
        </w:rPr>
        <w:t>和</w:t>
      </w:r>
      <w:r w:rsidRPr="00137E1D">
        <w:rPr>
          <w:rFonts w:ascii="仿宋_GB2312" w:eastAsia="仿宋_GB2312" w:hint="eastAsia"/>
          <w:b/>
          <w:bCs/>
          <w:kern w:val="2"/>
          <w:sz w:val="36"/>
          <w:szCs w:val="36"/>
          <w:lang w:eastAsia="zh-CN"/>
        </w:rPr>
        <w:t>商业街</w:t>
      </w:r>
      <w:r w:rsidRPr="00137E1D">
        <w:rPr>
          <w:rFonts w:ascii="仿宋_GB2312" w:eastAsia="仿宋_GB2312" w:hint="eastAsia"/>
          <w:bCs/>
          <w:kern w:val="2"/>
          <w:sz w:val="36"/>
          <w:szCs w:val="36"/>
          <w:lang w:eastAsia="zh-CN"/>
        </w:rPr>
        <w:t>等商业聚集区，</w:t>
      </w:r>
      <w:r w:rsidRPr="00137E1D">
        <w:rPr>
          <w:rFonts w:ascii="仿宋_GB2312" w:eastAsia="仿宋_GB2312" w:hint="eastAsia"/>
          <w:b/>
          <w:bCs/>
          <w:kern w:val="2"/>
          <w:sz w:val="36"/>
          <w:szCs w:val="36"/>
          <w:lang w:eastAsia="zh-CN"/>
        </w:rPr>
        <w:t>商贸物流</w:t>
      </w:r>
      <w:r w:rsidRPr="00137E1D">
        <w:rPr>
          <w:rFonts w:ascii="仿宋_GB2312" w:eastAsia="仿宋_GB2312" w:hint="eastAsia"/>
          <w:bCs/>
          <w:kern w:val="2"/>
          <w:sz w:val="36"/>
          <w:szCs w:val="36"/>
          <w:lang w:eastAsia="zh-CN"/>
        </w:rPr>
        <w:t>（体系）、</w:t>
      </w:r>
      <w:r w:rsidRPr="00137E1D">
        <w:rPr>
          <w:rFonts w:ascii="仿宋_GB2312" w:eastAsia="仿宋_GB2312" w:hint="eastAsia"/>
          <w:b/>
          <w:bCs/>
          <w:kern w:val="2"/>
          <w:sz w:val="36"/>
          <w:szCs w:val="36"/>
          <w:lang w:eastAsia="zh-CN"/>
        </w:rPr>
        <w:t>会展及旅游商业</w:t>
      </w:r>
      <w:r w:rsidRPr="00137E1D">
        <w:rPr>
          <w:rFonts w:ascii="仿宋_GB2312" w:eastAsia="仿宋_GB2312" w:hint="eastAsia"/>
          <w:bCs/>
          <w:kern w:val="2"/>
          <w:sz w:val="36"/>
          <w:szCs w:val="36"/>
          <w:lang w:eastAsia="zh-CN"/>
        </w:rPr>
        <w:t>和</w:t>
      </w:r>
      <w:r w:rsidRPr="00137E1D">
        <w:rPr>
          <w:rFonts w:ascii="仿宋_GB2312" w:eastAsia="仿宋_GB2312" w:hint="eastAsia"/>
          <w:b/>
          <w:bCs/>
          <w:kern w:val="2"/>
          <w:sz w:val="36"/>
          <w:szCs w:val="36"/>
          <w:lang w:eastAsia="zh-CN"/>
        </w:rPr>
        <w:t>电子商务</w:t>
      </w:r>
      <w:r w:rsidRPr="00137E1D">
        <w:rPr>
          <w:rFonts w:ascii="仿宋_GB2312" w:eastAsia="仿宋_GB2312" w:hint="eastAsia"/>
          <w:bCs/>
          <w:kern w:val="2"/>
          <w:sz w:val="36"/>
          <w:szCs w:val="36"/>
          <w:lang w:eastAsia="zh-CN"/>
        </w:rPr>
        <w:t>及</w:t>
      </w:r>
      <w:r w:rsidRPr="00137E1D">
        <w:rPr>
          <w:rFonts w:ascii="仿宋_GB2312" w:eastAsia="仿宋_GB2312" w:hint="eastAsia"/>
          <w:b/>
          <w:bCs/>
          <w:kern w:val="2"/>
          <w:sz w:val="36"/>
          <w:szCs w:val="36"/>
          <w:lang w:eastAsia="zh-CN"/>
        </w:rPr>
        <w:t>其他类型商业</w:t>
      </w:r>
      <w:r w:rsidRPr="00137E1D">
        <w:rPr>
          <w:rFonts w:ascii="仿宋_GB2312" w:eastAsia="仿宋_GB2312" w:hint="eastAsia"/>
          <w:bCs/>
          <w:kern w:val="2"/>
          <w:sz w:val="36"/>
          <w:szCs w:val="36"/>
          <w:lang w:eastAsia="zh-CN"/>
        </w:rPr>
        <w:t>（创新型商业、餐饮）等七大类。同时，本次规划打造</w:t>
      </w:r>
      <w:r w:rsidRPr="00137E1D">
        <w:rPr>
          <w:rFonts w:ascii="仿宋_GB2312" w:eastAsia="仿宋_GB2312" w:hint="eastAsia"/>
          <w:b/>
          <w:bCs/>
          <w:kern w:val="2"/>
          <w:sz w:val="36"/>
          <w:szCs w:val="36"/>
          <w:lang w:eastAsia="zh-CN"/>
        </w:rPr>
        <w:t>支持国际消费中心城市建设的消费承载体系</w:t>
      </w:r>
      <w:r w:rsidRPr="00137E1D">
        <w:rPr>
          <w:rFonts w:ascii="仿宋_GB2312" w:eastAsia="仿宋_GB2312" w:hint="eastAsia"/>
          <w:bCs/>
          <w:kern w:val="2"/>
          <w:sz w:val="36"/>
          <w:szCs w:val="36"/>
          <w:lang w:eastAsia="zh-CN"/>
        </w:rPr>
        <w:t>。</w:t>
      </w:r>
    </w:p>
    <w:p w:rsidR="004A4C3B" w:rsidRPr="00137E1D" w:rsidRDefault="00EF748F">
      <w:pPr>
        <w:spacing w:line="600" w:lineRule="exact"/>
        <w:ind w:firstLineChars="200" w:firstLine="720"/>
        <w:rPr>
          <w:rFonts w:ascii="黑体" w:eastAsia="黑体" w:hAnsi="黑体" w:cs="黑体"/>
          <w:bCs/>
          <w:sz w:val="36"/>
          <w:szCs w:val="36"/>
          <w:lang w:eastAsia="zh-CN"/>
        </w:rPr>
      </w:pPr>
      <w:r>
        <w:rPr>
          <w:rFonts w:ascii="黑体" w:eastAsia="黑体" w:hAnsi="黑体" w:cs="黑体" w:hint="eastAsia"/>
          <w:bCs/>
          <w:sz w:val="36"/>
          <w:szCs w:val="36"/>
          <w:lang w:eastAsia="zh-CN"/>
        </w:rPr>
        <w:t>二</w:t>
      </w:r>
      <w:r w:rsidR="00374D13" w:rsidRPr="00137E1D">
        <w:rPr>
          <w:rFonts w:ascii="黑体" w:eastAsia="黑体" w:hAnsi="黑体" w:cs="黑体" w:hint="eastAsia"/>
          <w:bCs/>
          <w:sz w:val="36"/>
          <w:szCs w:val="36"/>
          <w:lang w:eastAsia="zh-CN"/>
        </w:rPr>
        <w:t>、目标定位</w:t>
      </w:r>
    </w:p>
    <w:p w:rsidR="004A4C3B" w:rsidRPr="00137E1D" w:rsidRDefault="00374D13">
      <w:pPr>
        <w:spacing w:line="600" w:lineRule="exact"/>
        <w:ind w:firstLineChars="200" w:firstLine="720"/>
        <w:jc w:val="both"/>
        <w:rPr>
          <w:rFonts w:ascii="仿宋_GB2312" w:eastAsia="仿宋_GB2312"/>
          <w:b/>
          <w:bCs/>
          <w:kern w:val="2"/>
          <w:sz w:val="36"/>
          <w:szCs w:val="36"/>
          <w:lang w:eastAsia="zh-CN"/>
        </w:rPr>
      </w:pPr>
      <w:r w:rsidRPr="00137E1D">
        <w:rPr>
          <w:rFonts w:ascii="仿宋_GB2312" w:eastAsia="仿宋_GB2312" w:hint="eastAsia"/>
          <w:bCs/>
          <w:kern w:val="2"/>
          <w:sz w:val="36"/>
          <w:szCs w:val="36"/>
          <w:lang w:eastAsia="zh-CN"/>
        </w:rPr>
        <w:t>本次规划福州市商业定位为：</w:t>
      </w:r>
      <w:r w:rsidRPr="00137E1D">
        <w:rPr>
          <w:rFonts w:ascii="仿宋_GB2312" w:eastAsia="仿宋_GB2312" w:hint="eastAsia"/>
          <w:b/>
          <w:bCs/>
          <w:kern w:val="2"/>
          <w:sz w:val="36"/>
          <w:szCs w:val="36"/>
          <w:lang w:eastAsia="zh-CN"/>
        </w:rPr>
        <w:t>时尚、便捷的区域性国际消费中心，开放、包容、具有</w:t>
      </w:r>
      <w:proofErr w:type="gramStart"/>
      <w:r w:rsidRPr="00137E1D">
        <w:rPr>
          <w:rFonts w:ascii="仿宋_GB2312" w:eastAsia="仿宋_GB2312" w:hint="eastAsia"/>
          <w:b/>
          <w:bCs/>
          <w:kern w:val="2"/>
          <w:sz w:val="36"/>
          <w:szCs w:val="36"/>
          <w:lang w:eastAsia="zh-CN"/>
        </w:rPr>
        <w:t>闽都品牌</w:t>
      </w:r>
      <w:proofErr w:type="gramEnd"/>
      <w:r w:rsidRPr="00137E1D">
        <w:rPr>
          <w:rFonts w:ascii="仿宋_GB2312" w:eastAsia="仿宋_GB2312" w:hint="eastAsia"/>
          <w:b/>
          <w:bCs/>
          <w:kern w:val="2"/>
          <w:sz w:val="36"/>
          <w:szCs w:val="36"/>
          <w:lang w:eastAsia="zh-CN"/>
        </w:rPr>
        <w:t>特色的国际商业创新中心，高效、集约的现代化国际商贸物流集散中心。</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1.培育国际级（都市级）商业中心——鼓台商业中心（含闽江</w:t>
      </w:r>
      <w:proofErr w:type="gramStart"/>
      <w:r w:rsidRPr="00137E1D">
        <w:rPr>
          <w:rFonts w:ascii="仿宋_GB2312" w:eastAsia="仿宋_GB2312" w:hint="eastAsia"/>
          <w:bCs/>
          <w:kern w:val="2"/>
          <w:sz w:val="36"/>
          <w:szCs w:val="36"/>
          <w:lang w:eastAsia="zh-CN"/>
        </w:rPr>
        <w:t>之心商圈</w:t>
      </w:r>
      <w:proofErr w:type="gramEnd"/>
      <w:r w:rsidRPr="00137E1D">
        <w:rPr>
          <w:rFonts w:ascii="仿宋_GB2312" w:eastAsia="仿宋_GB2312" w:hint="eastAsia"/>
          <w:bCs/>
          <w:kern w:val="2"/>
          <w:sz w:val="36"/>
          <w:szCs w:val="36"/>
          <w:lang w:eastAsia="zh-CN"/>
        </w:rPr>
        <w:t>、东</w:t>
      </w:r>
      <w:proofErr w:type="gramStart"/>
      <w:r w:rsidRPr="00137E1D">
        <w:rPr>
          <w:rFonts w:ascii="仿宋_GB2312" w:eastAsia="仿宋_GB2312" w:hint="eastAsia"/>
          <w:bCs/>
          <w:kern w:val="2"/>
          <w:sz w:val="36"/>
          <w:szCs w:val="36"/>
          <w:lang w:eastAsia="zh-CN"/>
        </w:rPr>
        <w:t>街口商</w:t>
      </w:r>
      <w:proofErr w:type="gramEnd"/>
      <w:r w:rsidRPr="00137E1D">
        <w:rPr>
          <w:rFonts w:ascii="仿宋_GB2312" w:eastAsia="仿宋_GB2312" w:hint="eastAsia"/>
          <w:bCs/>
          <w:kern w:val="2"/>
          <w:sz w:val="36"/>
          <w:szCs w:val="36"/>
          <w:lang w:eastAsia="zh-CN"/>
        </w:rPr>
        <w:t>圈）；打造具有国际影响力的商业街区—三坊七巷、上下杭金银里、</w:t>
      </w:r>
      <w:r w:rsidR="00915E3F" w:rsidRPr="00137E1D">
        <w:rPr>
          <w:rFonts w:ascii="仿宋_GB2312" w:eastAsia="仿宋_GB2312" w:hint="eastAsia"/>
          <w:bCs/>
          <w:kern w:val="2"/>
          <w:sz w:val="36"/>
          <w:szCs w:val="36"/>
          <w:lang w:eastAsia="zh-CN"/>
        </w:rPr>
        <w:t>烟台山商业漫步街区、</w:t>
      </w:r>
      <w:r w:rsidRPr="00137E1D">
        <w:rPr>
          <w:rFonts w:ascii="仿宋_GB2312" w:eastAsia="仿宋_GB2312" w:hint="eastAsia"/>
          <w:bCs/>
          <w:kern w:val="2"/>
          <w:sz w:val="36"/>
          <w:szCs w:val="36"/>
          <w:lang w:eastAsia="zh-CN"/>
        </w:rPr>
        <w:t>滨海新城CBD核心街区；一纵（主城区中</w:t>
      </w:r>
      <w:r w:rsidRPr="00137E1D">
        <w:rPr>
          <w:rFonts w:ascii="仿宋_GB2312" w:eastAsia="仿宋_GB2312" w:hint="eastAsia"/>
          <w:bCs/>
          <w:kern w:val="2"/>
          <w:sz w:val="36"/>
          <w:szCs w:val="36"/>
          <w:lang w:eastAsia="zh-CN"/>
        </w:rPr>
        <w:lastRenderedPageBreak/>
        <w:t>轴线山水历史文化特色消费区）、一横（</w:t>
      </w:r>
      <w:proofErr w:type="gramStart"/>
      <w:r w:rsidRPr="00137E1D">
        <w:rPr>
          <w:rFonts w:ascii="仿宋_GB2312" w:eastAsia="仿宋_GB2312" w:hint="eastAsia"/>
          <w:bCs/>
          <w:kern w:val="2"/>
          <w:sz w:val="36"/>
          <w:szCs w:val="36"/>
          <w:lang w:eastAsia="zh-CN"/>
        </w:rPr>
        <w:t>两江四岸</w:t>
      </w:r>
      <w:proofErr w:type="gramEnd"/>
      <w:r w:rsidRPr="00137E1D">
        <w:rPr>
          <w:rFonts w:ascii="仿宋_GB2312" w:eastAsia="仿宋_GB2312" w:hint="eastAsia"/>
          <w:bCs/>
          <w:kern w:val="2"/>
          <w:sz w:val="36"/>
          <w:szCs w:val="36"/>
          <w:lang w:eastAsia="zh-CN"/>
        </w:rPr>
        <w:t>滨江休闲消费区）、一带（海滨旅游消费带）建成国际知名消费集聚区；中心城区人均大型零售设施建筑面积为1.7平方米（现状</w:t>
      </w:r>
      <w:r w:rsidR="00915E3F" w:rsidRPr="00137E1D">
        <w:rPr>
          <w:rFonts w:ascii="仿宋_GB2312" w:eastAsia="仿宋_GB2312" w:hint="eastAsia"/>
          <w:bCs/>
          <w:kern w:val="2"/>
          <w:sz w:val="36"/>
          <w:szCs w:val="36"/>
          <w:lang w:eastAsia="zh-CN"/>
        </w:rPr>
        <w:t>1.4</w:t>
      </w:r>
      <w:r w:rsidRPr="00137E1D">
        <w:rPr>
          <w:rFonts w:ascii="仿宋_GB2312" w:eastAsia="仿宋_GB2312" w:hint="eastAsia"/>
          <w:bCs/>
          <w:kern w:val="2"/>
          <w:sz w:val="36"/>
          <w:szCs w:val="36"/>
          <w:lang w:eastAsia="zh-CN"/>
        </w:rPr>
        <w:t>平方米，先进城市1.5-2.0平方米）；一刻钟（15分钟）便民</w:t>
      </w:r>
      <w:proofErr w:type="gramStart"/>
      <w:r w:rsidRPr="00137E1D">
        <w:rPr>
          <w:rFonts w:ascii="仿宋_GB2312" w:eastAsia="仿宋_GB2312" w:hint="eastAsia"/>
          <w:bCs/>
          <w:kern w:val="2"/>
          <w:sz w:val="36"/>
          <w:szCs w:val="36"/>
          <w:lang w:eastAsia="zh-CN"/>
        </w:rPr>
        <w:t>生活圈全覆盖</w:t>
      </w:r>
      <w:proofErr w:type="gramEnd"/>
      <w:r w:rsidRPr="00137E1D">
        <w:rPr>
          <w:rFonts w:ascii="仿宋_GB2312" w:eastAsia="仿宋_GB2312" w:hint="eastAsia"/>
          <w:bCs/>
          <w:kern w:val="2"/>
          <w:sz w:val="36"/>
          <w:szCs w:val="36"/>
          <w:lang w:eastAsia="zh-CN"/>
        </w:rPr>
        <w:t>,“六个城”的商业网点体系基本建成，打造为时尚、便捷的区域性国际消费中心城市。</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2.依托历史文化资源，建成富有成效的</w:t>
      </w:r>
      <w:proofErr w:type="gramStart"/>
      <w:r w:rsidRPr="00137E1D">
        <w:rPr>
          <w:rFonts w:ascii="仿宋_GB2312" w:eastAsia="仿宋_GB2312" w:hint="eastAsia"/>
          <w:bCs/>
          <w:kern w:val="2"/>
          <w:sz w:val="36"/>
          <w:szCs w:val="36"/>
          <w:lang w:eastAsia="zh-CN"/>
        </w:rPr>
        <w:t>闽都品牌商</w:t>
      </w:r>
      <w:proofErr w:type="gramEnd"/>
      <w:r w:rsidRPr="00137E1D">
        <w:rPr>
          <w:rFonts w:ascii="仿宋_GB2312" w:eastAsia="仿宋_GB2312" w:hint="eastAsia"/>
          <w:bCs/>
          <w:kern w:val="2"/>
          <w:sz w:val="36"/>
          <w:szCs w:val="36"/>
          <w:lang w:eastAsia="zh-CN"/>
        </w:rPr>
        <w:t>圈；智能商店、智慧商圈、智慧商业物流体系基本建成；积极举办数字经济、“海丝”主题的国际性论坛，打造成东南会展高地；</w:t>
      </w:r>
      <w:proofErr w:type="gramStart"/>
      <w:r w:rsidRPr="00137E1D">
        <w:rPr>
          <w:rFonts w:ascii="仿宋_GB2312" w:eastAsia="仿宋_GB2312" w:hint="eastAsia"/>
          <w:bCs/>
          <w:kern w:val="2"/>
          <w:sz w:val="36"/>
          <w:szCs w:val="36"/>
          <w:lang w:eastAsia="zh-CN"/>
        </w:rPr>
        <w:t>闽都文化</w:t>
      </w:r>
      <w:proofErr w:type="gramEnd"/>
      <w:r w:rsidRPr="00137E1D">
        <w:rPr>
          <w:rFonts w:ascii="仿宋_GB2312" w:eastAsia="仿宋_GB2312" w:hint="eastAsia"/>
          <w:bCs/>
          <w:kern w:val="2"/>
          <w:sz w:val="36"/>
          <w:szCs w:val="36"/>
          <w:lang w:eastAsia="zh-CN"/>
        </w:rPr>
        <w:t>品牌（“福茶、闽菜”等）扩大国际影响力，真正建成开放、包容、具有</w:t>
      </w:r>
      <w:proofErr w:type="gramStart"/>
      <w:r w:rsidRPr="00137E1D">
        <w:rPr>
          <w:rFonts w:ascii="仿宋_GB2312" w:eastAsia="仿宋_GB2312" w:hint="eastAsia"/>
          <w:bCs/>
          <w:kern w:val="2"/>
          <w:sz w:val="36"/>
          <w:szCs w:val="36"/>
          <w:lang w:eastAsia="zh-CN"/>
        </w:rPr>
        <w:t>闽都品牌</w:t>
      </w:r>
      <w:proofErr w:type="gramEnd"/>
      <w:r w:rsidRPr="00137E1D">
        <w:rPr>
          <w:rFonts w:ascii="仿宋_GB2312" w:eastAsia="仿宋_GB2312" w:hint="eastAsia"/>
          <w:bCs/>
          <w:kern w:val="2"/>
          <w:sz w:val="36"/>
          <w:szCs w:val="36"/>
          <w:lang w:eastAsia="zh-CN"/>
        </w:rPr>
        <w:t>特色的国际商业创新中心。</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3.现代国际商贸物流体系（1+2+3+中转枢纽+末端配送网）建设完成，农村商贸物流节点覆盖率100%，实现成为高效、便捷的现代化国际商贸物流集散中心。</w:t>
      </w:r>
    </w:p>
    <w:p w:rsidR="004A4C3B" w:rsidRPr="00137E1D" w:rsidRDefault="00EF748F">
      <w:pPr>
        <w:spacing w:line="600" w:lineRule="exact"/>
        <w:ind w:firstLineChars="200" w:firstLine="720"/>
        <w:rPr>
          <w:rFonts w:ascii="黑体" w:eastAsia="黑体" w:hAnsi="黑体" w:cs="黑体"/>
          <w:bCs/>
          <w:sz w:val="36"/>
          <w:szCs w:val="36"/>
          <w:lang w:eastAsia="zh-CN"/>
        </w:rPr>
      </w:pPr>
      <w:r>
        <w:rPr>
          <w:rFonts w:ascii="黑体" w:eastAsia="黑体" w:hAnsi="黑体" w:cs="黑体" w:hint="eastAsia"/>
          <w:bCs/>
          <w:sz w:val="36"/>
          <w:szCs w:val="36"/>
          <w:lang w:eastAsia="zh-CN"/>
        </w:rPr>
        <w:t>三</w:t>
      </w:r>
      <w:r w:rsidR="00374D13" w:rsidRPr="00137E1D">
        <w:rPr>
          <w:rFonts w:ascii="黑体" w:eastAsia="黑体" w:hAnsi="黑体" w:cs="黑体" w:hint="eastAsia"/>
          <w:bCs/>
          <w:sz w:val="36"/>
          <w:szCs w:val="36"/>
          <w:lang w:eastAsia="zh-CN"/>
        </w:rPr>
        <w:t>、主要内容</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各类规划对象总体布局如下：</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（一）健全和完善商业中心体系。</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kern w:val="2"/>
          <w:sz w:val="36"/>
          <w:szCs w:val="36"/>
          <w:lang w:eastAsia="zh-CN"/>
        </w:rPr>
        <w:t>市域</w:t>
      </w:r>
      <w:r w:rsidRPr="00137E1D">
        <w:rPr>
          <w:rFonts w:ascii="仿宋_GB2312" w:eastAsia="仿宋_GB2312" w:hint="eastAsia"/>
          <w:bCs/>
          <w:kern w:val="2"/>
          <w:sz w:val="36"/>
          <w:szCs w:val="36"/>
          <w:lang w:eastAsia="zh-CN"/>
        </w:rPr>
        <w:t>形成“一主一副五点”的三级商业体系，并对各个层级的商业发展特色、定位、大型零售规模和具体发展措施等提出明确的指引。中心城区对照《城市商业</w:t>
      </w:r>
      <w:r w:rsidRPr="00137E1D">
        <w:rPr>
          <w:rFonts w:ascii="仿宋_GB2312" w:eastAsia="仿宋_GB2312" w:hint="eastAsia"/>
          <w:bCs/>
          <w:kern w:val="2"/>
          <w:sz w:val="36"/>
          <w:szCs w:val="36"/>
          <w:lang w:eastAsia="zh-CN"/>
        </w:rPr>
        <w:lastRenderedPageBreak/>
        <w:t>中心等级划分标准》，结合城市空间总体结构，形成“1+4+</w:t>
      </w:r>
      <w:r w:rsidRPr="00137E1D">
        <w:rPr>
          <w:rFonts w:ascii="仿宋_GB2312" w:eastAsia="仿宋_GB2312"/>
          <w:bCs/>
          <w:kern w:val="2"/>
          <w:sz w:val="36"/>
          <w:szCs w:val="36"/>
          <w:lang w:eastAsia="zh-CN"/>
        </w:rPr>
        <w:t>2+</w:t>
      </w:r>
      <w:r w:rsidRPr="00137E1D">
        <w:rPr>
          <w:rFonts w:ascii="仿宋_GB2312" w:eastAsia="仿宋_GB2312" w:hint="eastAsia"/>
          <w:bCs/>
          <w:kern w:val="2"/>
          <w:sz w:val="36"/>
          <w:szCs w:val="36"/>
          <w:lang w:eastAsia="zh-CN"/>
        </w:rPr>
        <w:t>9+78”商业中心体系格局。</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1个国际级（都市级）商业中心，</w:t>
      </w:r>
      <w:proofErr w:type="gramStart"/>
      <w:r w:rsidRPr="00137E1D">
        <w:rPr>
          <w:rFonts w:ascii="仿宋_GB2312" w:eastAsia="仿宋_GB2312" w:hint="eastAsia"/>
          <w:bCs/>
          <w:kern w:val="2"/>
          <w:sz w:val="36"/>
          <w:szCs w:val="36"/>
          <w:lang w:eastAsia="zh-CN"/>
        </w:rPr>
        <w:t>即鼓台</w:t>
      </w:r>
      <w:proofErr w:type="gramEnd"/>
      <w:r w:rsidRPr="00137E1D">
        <w:rPr>
          <w:rFonts w:ascii="仿宋_GB2312" w:eastAsia="仿宋_GB2312" w:hint="eastAsia"/>
          <w:bCs/>
          <w:kern w:val="2"/>
          <w:sz w:val="36"/>
          <w:szCs w:val="36"/>
          <w:lang w:eastAsia="zh-CN"/>
        </w:rPr>
        <w:t>商业中心,覆盖闽江之</w:t>
      </w:r>
      <w:proofErr w:type="gramStart"/>
      <w:r w:rsidRPr="00137E1D">
        <w:rPr>
          <w:rFonts w:ascii="仿宋_GB2312" w:eastAsia="仿宋_GB2312" w:hint="eastAsia"/>
          <w:bCs/>
          <w:kern w:val="2"/>
          <w:sz w:val="36"/>
          <w:szCs w:val="36"/>
          <w:lang w:eastAsia="zh-CN"/>
        </w:rPr>
        <w:t>心世界</w:t>
      </w:r>
      <w:proofErr w:type="gramEnd"/>
      <w:r w:rsidRPr="00137E1D">
        <w:rPr>
          <w:rFonts w:ascii="仿宋_GB2312" w:eastAsia="仿宋_GB2312" w:hint="eastAsia"/>
          <w:bCs/>
          <w:kern w:val="2"/>
          <w:sz w:val="36"/>
          <w:szCs w:val="36"/>
          <w:lang w:eastAsia="zh-CN"/>
        </w:rPr>
        <w:t>级地标商圈和东街口、苏万宝两大老牌商圈，以及三坊七巷、上下杭、</w:t>
      </w:r>
      <w:proofErr w:type="gramStart"/>
      <w:r w:rsidRPr="00137E1D">
        <w:rPr>
          <w:rFonts w:ascii="仿宋_GB2312" w:eastAsia="仿宋_GB2312" w:hint="eastAsia"/>
          <w:bCs/>
          <w:kern w:val="2"/>
          <w:sz w:val="36"/>
          <w:szCs w:val="36"/>
          <w:lang w:eastAsia="zh-CN"/>
        </w:rPr>
        <w:t>五四</w:t>
      </w:r>
      <w:proofErr w:type="gramEnd"/>
      <w:r w:rsidRPr="00137E1D">
        <w:rPr>
          <w:rFonts w:ascii="仿宋_GB2312" w:eastAsia="仿宋_GB2312" w:hint="eastAsia"/>
          <w:bCs/>
          <w:kern w:val="2"/>
          <w:sz w:val="36"/>
          <w:szCs w:val="36"/>
          <w:lang w:eastAsia="zh-CN"/>
        </w:rPr>
        <w:t>路、中亭街、烟台山等福州特色商街。</w:t>
      </w:r>
    </w:p>
    <w:p w:rsidR="00915E3F"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4个市级商业中心，即滨海新城、三江口、科学城、晋安东城等4个市级商业中心；2个特色型商业中心，即空港商业中心和邮轮母港商业中心；9个片区（组团）级商业中心，即</w:t>
      </w:r>
      <w:r w:rsidR="00915E3F" w:rsidRPr="00137E1D">
        <w:rPr>
          <w:rFonts w:ascii="仿宋_GB2312" w:eastAsia="仿宋_GB2312" w:hint="eastAsia"/>
          <w:bCs/>
          <w:kern w:val="2"/>
          <w:sz w:val="36"/>
          <w:szCs w:val="36"/>
          <w:lang w:eastAsia="zh-CN"/>
        </w:rPr>
        <w:t>台江金融街、仓山白湖亭、</w:t>
      </w:r>
      <w:proofErr w:type="gramStart"/>
      <w:r w:rsidR="00915E3F" w:rsidRPr="00137E1D">
        <w:rPr>
          <w:rFonts w:ascii="仿宋_GB2312" w:eastAsia="仿宋_GB2312" w:hint="eastAsia"/>
          <w:bCs/>
          <w:kern w:val="2"/>
          <w:sz w:val="36"/>
          <w:szCs w:val="36"/>
          <w:lang w:eastAsia="zh-CN"/>
        </w:rPr>
        <w:t>浦上大道</w:t>
      </w:r>
      <w:proofErr w:type="gramEnd"/>
      <w:r w:rsidR="00915E3F" w:rsidRPr="00137E1D">
        <w:rPr>
          <w:rFonts w:ascii="仿宋_GB2312" w:eastAsia="仿宋_GB2312" w:hint="eastAsia"/>
          <w:bCs/>
          <w:kern w:val="2"/>
          <w:sz w:val="36"/>
          <w:szCs w:val="36"/>
          <w:lang w:eastAsia="zh-CN"/>
        </w:rPr>
        <w:t>、帝封江、晋安五四北、长乐老城、马尾老城、闽侯青口、荆溪等九大片区（组团）商业中心。</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推进建设78个社区（街道级）商业中心,实现社区商圈（一刻钟）</w:t>
      </w:r>
      <w:r w:rsidRPr="00137E1D">
        <w:rPr>
          <w:rFonts w:ascii="仿宋_GB2312" w:eastAsia="仿宋_GB2312"/>
          <w:bCs/>
          <w:kern w:val="2"/>
          <w:sz w:val="36"/>
          <w:szCs w:val="36"/>
          <w:lang w:eastAsia="zh-CN"/>
        </w:rPr>
        <w:t>生活</w:t>
      </w:r>
      <w:r w:rsidRPr="00137E1D">
        <w:rPr>
          <w:rFonts w:ascii="仿宋_GB2312" w:eastAsia="仿宋_GB2312"/>
          <w:bCs/>
          <w:kern w:val="2"/>
          <w:sz w:val="36"/>
          <w:szCs w:val="36"/>
          <w:lang w:eastAsia="zh-CN"/>
        </w:rPr>
        <w:t>“</w:t>
      </w:r>
      <w:r w:rsidRPr="00137E1D">
        <w:rPr>
          <w:rFonts w:ascii="仿宋_GB2312" w:eastAsia="仿宋_GB2312"/>
          <w:bCs/>
          <w:kern w:val="2"/>
          <w:sz w:val="36"/>
          <w:szCs w:val="36"/>
          <w:lang w:eastAsia="zh-CN"/>
        </w:rPr>
        <w:t>一站式</w:t>
      </w:r>
      <w:r w:rsidRPr="00137E1D">
        <w:rPr>
          <w:rFonts w:ascii="仿宋_GB2312" w:eastAsia="仿宋_GB2312"/>
          <w:bCs/>
          <w:kern w:val="2"/>
          <w:sz w:val="36"/>
          <w:szCs w:val="36"/>
          <w:lang w:eastAsia="zh-CN"/>
        </w:rPr>
        <w:t>”</w:t>
      </w:r>
      <w:r w:rsidRPr="00137E1D">
        <w:rPr>
          <w:rFonts w:ascii="仿宋_GB2312" w:eastAsia="仿宋_GB2312"/>
          <w:bCs/>
          <w:kern w:val="2"/>
          <w:sz w:val="36"/>
          <w:szCs w:val="36"/>
          <w:lang w:eastAsia="zh-CN"/>
        </w:rPr>
        <w:t>服务功能</w:t>
      </w:r>
      <w:r w:rsidRPr="00137E1D">
        <w:rPr>
          <w:rFonts w:ascii="仿宋_GB2312" w:eastAsia="仿宋_GB2312" w:hint="eastAsia"/>
          <w:bCs/>
          <w:kern w:val="2"/>
          <w:sz w:val="36"/>
          <w:szCs w:val="36"/>
          <w:lang w:eastAsia="zh-CN"/>
        </w:rPr>
        <w:t>全覆盖，</w:t>
      </w:r>
      <w:r w:rsidRPr="00137E1D">
        <w:rPr>
          <w:rFonts w:ascii="仿宋_GB2312" w:eastAsia="仿宋_GB2312"/>
          <w:bCs/>
          <w:kern w:val="2"/>
          <w:sz w:val="36"/>
          <w:szCs w:val="36"/>
          <w:lang w:eastAsia="zh-CN"/>
        </w:rPr>
        <w:t>优化社区网点布局，满足人民群众多元化服务需求。</w:t>
      </w:r>
    </w:p>
    <w:p w:rsidR="004A4C3B" w:rsidRPr="00137E1D" w:rsidRDefault="00374D13" w:rsidP="0017741F">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对具体的大型零售设施，鼓</w:t>
      </w:r>
      <w:proofErr w:type="gramStart"/>
      <w:r w:rsidRPr="00137E1D">
        <w:rPr>
          <w:rFonts w:ascii="仿宋_GB2312" w:eastAsia="仿宋_GB2312" w:hint="eastAsia"/>
          <w:bCs/>
          <w:kern w:val="2"/>
          <w:sz w:val="36"/>
          <w:szCs w:val="36"/>
          <w:lang w:eastAsia="zh-CN"/>
        </w:rPr>
        <w:t>台充分</w:t>
      </w:r>
      <w:proofErr w:type="gramEnd"/>
      <w:r w:rsidRPr="00137E1D">
        <w:rPr>
          <w:rFonts w:ascii="仿宋_GB2312" w:eastAsia="仿宋_GB2312" w:hint="eastAsia"/>
          <w:bCs/>
          <w:kern w:val="2"/>
          <w:sz w:val="36"/>
          <w:szCs w:val="36"/>
          <w:lang w:eastAsia="zh-CN"/>
        </w:rPr>
        <w:t>利用现有设施，盘活存量，引进</w:t>
      </w:r>
      <w:proofErr w:type="gramStart"/>
      <w:r w:rsidRPr="00137E1D">
        <w:rPr>
          <w:rFonts w:ascii="仿宋_GB2312" w:eastAsia="仿宋_GB2312" w:hint="eastAsia"/>
          <w:bCs/>
          <w:kern w:val="2"/>
          <w:sz w:val="36"/>
          <w:szCs w:val="36"/>
          <w:lang w:eastAsia="zh-CN"/>
        </w:rPr>
        <w:t>高端业</w:t>
      </w:r>
      <w:proofErr w:type="gramEnd"/>
      <w:r w:rsidRPr="00137E1D">
        <w:rPr>
          <w:rFonts w:ascii="仿宋_GB2312" w:eastAsia="仿宋_GB2312" w:hint="eastAsia"/>
          <w:bCs/>
          <w:kern w:val="2"/>
          <w:sz w:val="36"/>
          <w:szCs w:val="36"/>
          <w:lang w:eastAsia="zh-CN"/>
        </w:rPr>
        <w:t>态，提升国际化水平；外围新城新区优先利用地铁站点TOD开发，补足商业综合体短板。共规划大型零售设施(包括商业综合体、购物中心、百货店等)178个，总建筑规模达1050.2万㎡（现状含在建为</w:t>
      </w:r>
      <w:r w:rsidR="00915E3F" w:rsidRPr="00137E1D">
        <w:rPr>
          <w:rFonts w:ascii="仿宋_GB2312" w:eastAsia="仿宋_GB2312" w:hint="eastAsia"/>
          <w:bCs/>
          <w:kern w:val="2"/>
          <w:sz w:val="36"/>
          <w:szCs w:val="36"/>
          <w:lang w:eastAsia="zh-CN"/>
        </w:rPr>
        <w:t>843.6</w:t>
      </w:r>
      <w:r w:rsidRPr="00137E1D">
        <w:rPr>
          <w:rFonts w:ascii="仿宋_GB2312" w:eastAsia="仿宋_GB2312" w:hint="eastAsia"/>
          <w:bCs/>
          <w:kern w:val="2"/>
          <w:sz w:val="36"/>
          <w:szCs w:val="36"/>
          <w:lang w:eastAsia="zh-CN"/>
        </w:rPr>
        <w:t>万㎡），人均为1.7㎡/人。其中现状保留10</w:t>
      </w:r>
      <w:r w:rsidR="00915E3F" w:rsidRPr="00137E1D">
        <w:rPr>
          <w:rFonts w:ascii="仿宋_GB2312" w:eastAsia="仿宋_GB2312" w:hint="eastAsia"/>
          <w:bCs/>
          <w:kern w:val="2"/>
          <w:sz w:val="36"/>
          <w:szCs w:val="36"/>
          <w:lang w:eastAsia="zh-CN"/>
        </w:rPr>
        <w:t>3</w:t>
      </w:r>
      <w:r w:rsidRPr="00137E1D">
        <w:rPr>
          <w:rFonts w:ascii="仿宋_GB2312" w:eastAsia="仿宋_GB2312" w:hint="eastAsia"/>
          <w:bCs/>
          <w:kern w:val="2"/>
          <w:sz w:val="36"/>
          <w:szCs w:val="36"/>
          <w:lang w:eastAsia="zh-CN"/>
        </w:rPr>
        <w:t>个、加快招商</w:t>
      </w:r>
      <w:r w:rsidR="00915E3F" w:rsidRPr="00137E1D">
        <w:rPr>
          <w:rFonts w:ascii="仿宋_GB2312" w:eastAsia="仿宋_GB2312" w:hint="eastAsia"/>
          <w:bCs/>
          <w:kern w:val="2"/>
          <w:sz w:val="36"/>
          <w:szCs w:val="36"/>
          <w:lang w:eastAsia="zh-CN"/>
        </w:rPr>
        <w:t>5</w:t>
      </w:r>
      <w:r w:rsidRPr="00137E1D">
        <w:rPr>
          <w:rFonts w:ascii="仿宋_GB2312" w:eastAsia="仿宋_GB2312" w:hint="eastAsia"/>
          <w:bCs/>
          <w:kern w:val="2"/>
          <w:sz w:val="36"/>
          <w:szCs w:val="36"/>
          <w:lang w:eastAsia="zh-CN"/>
        </w:rPr>
        <w:t>个、规划提升24个、延续建设13</w:t>
      </w:r>
      <w:r w:rsidRPr="00137E1D">
        <w:rPr>
          <w:rFonts w:ascii="仿宋_GB2312" w:eastAsia="仿宋_GB2312" w:hint="eastAsia"/>
          <w:bCs/>
          <w:kern w:val="2"/>
          <w:sz w:val="36"/>
          <w:szCs w:val="36"/>
          <w:lang w:eastAsia="zh-CN"/>
        </w:rPr>
        <w:lastRenderedPageBreak/>
        <w:t>个、规划新建33个（利用轨道站点综合开发15个）。</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（二）打造多元化特色消费街区。</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充分利用福州历史文化地段（</w:t>
      </w:r>
      <w:proofErr w:type="gramStart"/>
      <w:r w:rsidRPr="00137E1D">
        <w:rPr>
          <w:rFonts w:ascii="仿宋_GB2312" w:eastAsia="仿宋_GB2312" w:hint="eastAsia"/>
          <w:bCs/>
          <w:kern w:val="2"/>
          <w:sz w:val="36"/>
          <w:szCs w:val="36"/>
          <w:lang w:eastAsia="zh-CN"/>
        </w:rPr>
        <w:t>如特色</w:t>
      </w:r>
      <w:proofErr w:type="gramEnd"/>
      <w:r w:rsidRPr="00137E1D">
        <w:rPr>
          <w:rFonts w:ascii="仿宋_GB2312" w:eastAsia="仿宋_GB2312" w:hint="eastAsia"/>
          <w:bCs/>
          <w:kern w:val="2"/>
          <w:sz w:val="36"/>
          <w:szCs w:val="36"/>
          <w:lang w:eastAsia="zh-CN"/>
        </w:rPr>
        <w:t>历史文化街区等）、山水景区（如温泉公园）等资源载体，鼓励扶持和培育知名福IP（闽菜、闽茶）等方式。借助福州市发展现代化国际城市的契机，将三坊七巷、上下杭</w:t>
      </w:r>
      <w:r w:rsidR="00915E3F" w:rsidRPr="00137E1D">
        <w:rPr>
          <w:rFonts w:ascii="仿宋_GB2312" w:eastAsia="仿宋_GB2312" w:hint="eastAsia"/>
          <w:bCs/>
          <w:kern w:val="2"/>
          <w:sz w:val="36"/>
          <w:szCs w:val="36"/>
          <w:lang w:eastAsia="zh-CN"/>
        </w:rPr>
        <w:t>、烟台山</w:t>
      </w:r>
      <w:r w:rsidRPr="00137E1D">
        <w:rPr>
          <w:rFonts w:ascii="仿宋_GB2312" w:eastAsia="仿宋_GB2312" w:hint="eastAsia"/>
          <w:bCs/>
          <w:kern w:val="2"/>
          <w:sz w:val="36"/>
          <w:szCs w:val="36"/>
          <w:lang w:eastAsia="zh-CN"/>
        </w:rPr>
        <w:t>打造具有“闽都文化、八闽商埠”特色的国际化商业街区，把滨海新城CBD核心街区打造成具有海滨城市风貌特色的国际化高端商业街区，形成历史文化和现代时尚交相辉映的高品位商业步行街格局。共规划商业街区59处（新增11处）。</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（三）明确商品交易市场布局。</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按照“城零郊批”的总体原则，形成仓山南三环，闽侯南通和汽车城，长乐鹤上、马尾、连江粗芦岛、福州现代</w:t>
      </w:r>
      <w:proofErr w:type="gramStart"/>
      <w:r w:rsidRPr="00137E1D">
        <w:rPr>
          <w:rFonts w:ascii="仿宋_GB2312" w:eastAsia="仿宋_GB2312" w:hint="eastAsia"/>
          <w:bCs/>
          <w:kern w:val="2"/>
          <w:sz w:val="36"/>
          <w:szCs w:val="36"/>
          <w:lang w:eastAsia="zh-CN"/>
        </w:rPr>
        <w:t>物流城</w:t>
      </w:r>
      <w:proofErr w:type="gramEnd"/>
      <w:r w:rsidRPr="00137E1D">
        <w:rPr>
          <w:rFonts w:ascii="仿宋_GB2312" w:eastAsia="仿宋_GB2312" w:hint="eastAsia"/>
          <w:bCs/>
          <w:kern w:val="2"/>
          <w:sz w:val="36"/>
          <w:szCs w:val="36"/>
          <w:lang w:eastAsia="zh-CN"/>
        </w:rPr>
        <w:t>及元洪-松下等8个市场集群。此外明确汽车销售网点、二手车交易场所</w:t>
      </w:r>
      <w:r w:rsidR="00915E3F" w:rsidRPr="00137E1D">
        <w:rPr>
          <w:rFonts w:ascii="仿宋_GB2312" w:eastAsia="仿宋_GB2312" w:hint="eastAsia"/>
          <w:bCs/>
          <w:kern w:val="2"/>
          <w:sz w:val="36"/>
          <w:szCs w:val="36"/>
          <w:lang w:eastAsia="zh-CN"/>
        </w:rPr>
        <w:t>、</w:t>
      </w:r>
      <w:r w:rsidRPr="00137E1D">
        <w:rPr>
          <w:rFonts w:ascii="仿宋_GB2312" w:eastAsia="仿宋_GB2312" w:hint="eastAsia"/>
          <w:bCs/>
          <w:kern w:val="2"/>
          <w:sz w:val="36"/>
          <w:szCs w:val="36"/>
          <w:lang w:eastAsia="zh-CN"/>
        </w:rPr>
        <w:t>报废机动车回收拆解点</w:t>
      </w:r>
      <w:r w:rsidR="00915E3F" w:rsidRPr="00137E1D">
        <w:rPr>
          <w:rFonts w:ascii="仿宋_GB2312" w:eastAsia="仿宋_GB2312" w:hint="eastAsia"/>
          <w:bCs/>
          <w:kern w:val="2"/>
          <w:sz w:val="36"/>
          <w:szCs w:val="36"/>
          <w:lang w:eastAsia="zh-CN"/>
        </w:rPr>
        <w:t>及电动自行车、犬只经营网点</w:t>
      </w:r>
      <w:r w:rsidRPr="00137E1D">
        <w:rPr>
          <w:rFonts w:ascii="仿宋_GB2312" w:eastAsia="仿宋_GB2312" w:hint="eastAsia"/>
          <w:bCs/>
          <w:kern w:val="2"/>
          <w:sz w:val="36"/>
          <w:szCs w:val="36"/>
          <w:lang w:eastAsia="zh-CN"/>
        </w:rPr>
        <w:t>空间布局及发展政策措施。</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（四）大力发展智慧化的商贸物流体系。</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衔接《福州市“十四五”物流业发展规划》，建成“1+2+3+中转枢纽+末端配送网”多级商贸物流服务网络。“1”</w:t>
      </w:r>
      <w:proofErr w:type="gramStart"/>
      <w:r w:rsidRPr="00137E1D">
        <w:rPr>
          <w:rFonts w:ascii="仿宋_GB2312" w:eastAsia="仿宋_GB2312" w:hint="eastAsia"/>
          <w:bCs/>
          <w:kern w:val="2"/>
          <w:sz w:val="36"/>
          <w:szCs w:val="36"/>
          <w:lang w:eastAsia="zh-CN"/>
        </w:rPr>
        <w:t>个</w:t>
      </w:r>
      <w:proofErr w:type="gramEnd"/>
      <w:r w:rsidRPr="00137E1D">
        <w:rPr>
          <w:rFonts w:ascii="仿宋_GB2312" w:eastAsia="仿宋_GB2312" w:hint="eastAsia"/>
          <w:bCs/>
          <w:kern w:val="2"/>
          <w:sz w:val="36"/>
          <w:szCs w:val="36"/>
          <w:lang w:eastAsia="zh-CN"/>
        </w:rPr>
        <w:t>商贸物流中心——福州现代物流城。“2”</w:t>
      </w:r>
      <w:proofErr w:type="gramStart"/>
      <w:r w:rsidRPr="00137E1D">
        <w:rPr>
          <w:rFonts w:ascii="仿宋_GB2312" w:eastAsia="仿宋_GB2312" w:hint="eastAsia"/>
          <w:bCs/>
          <w:kern w:val="2"/>
          <w:sz w:val="36"/>
          <w:szCs w:val="36"/>
          <w:lang w:eastAsia="zh-CN"/>
        </w:rPr>
        <w:t>个</w:t>
      </w:r>
      <w:proofErr w:type="gramEnd"/>
      <w:r w:rsidRPr="00137E1D">
        <w:rPr>
          <w:rFonts w:ascii="仿宋_GB2312" w:eastAsia="仿宋_GB2312" w:hint="eastAsia"/>
          <w:bCs/>
          <w:kern w:val="2"/>
          <w:sz w:val="36"/>
          <w:szCs w:val="36"/>
          <w:lang w:eastAsia="zh-CN"/>
        </w:rPr>
        <w:lastRenderedPageBreak/>
        <w:t>商贸物流基地——福州国家骨干冷链物流基地和福州（连江）国家远洋渔业基地。“3”</w:t>
      </w:r>
      <w:proofErr w:type="gramStart"/>
      <w:r w:rsidRPr="00137E1D">
        <w:rPr>
          <w:rFonts w:ascii="仿宋_GB2312" w:eastAsia="仿宋_GB2312" w:hint="eastAsia"/>
          <w:bCs/>
          <w:kern w:val="2"/>
          <w:sz w:val="36"/>
          <w:szCs w:val="36"/>
          <w:lang w:eastAsia="zh-CN"/>
        </w:rPr>
        <w:t>个</w:t>
      </w:r>
      <w:proofErr w:type="gramEnd"/>
      <w:r w:rsidRPr="00137E1D">
        <w:rPr>
          <w:rFonts w:ascii="仿宋_GB2312" w:eastAsia="仿宋_GB2312" w:hint="eastAsia"/>
          <w:bCs/>
          <w:kern w:val="2"/>
          <w:sz w:val="36"/>
          <w:szCs w:val="36"/>
          <w:lang w:eastAsia="zh-CN"/>
        </w:rPr>
        <w:t>商贸物流集聚区——</w:t>
      </w:r>
      <w:proofErr w:type="gramStart"/>
      <w:r w:rsidRPr="00137E1D">
        <w:rPr>
          <w:rFonts w:ascii="仿宋_GB2312" w:eastAsia="仿宋_GB2312" w:hint="eastAsia"/>
          <w:bCs/>
          <w:kern w:val="2"/>
          <w:sz w:val="36"/>
          <w:szCs w:val="36"/>
          <w:lang w:eastAsia="zh-CN"/>
        </w:rPr>
        <w:t>江阴港</w:t>
      </w:r>
      <w:proofErr w:type="gramEnd"/>
      <w:r w:rsidRPr="00137E1D">
        <w:rPr>
          <w:rFonts w:ascii="仿宋_GB2312" w:eastAsia="仿宋_GB2312" w:hint="eastAsia"/>
          <w:bCs/>
          <w:kern w:val="2"/>
          <w:sz w:val="36"/>
          <w:szCs w:val="36"/>
          <w:lang w:eastAsia="zh-CN"/>
        </w:rPr>
        <w:t>城物流集聚区、罗源湾物流集聚区和空港物流集聚区。“中转枢纽”，中心城区依托闽侯荆溪、南通、青口，马尾、连江粗芦岛、长乐空港等6大物流集聚区打造中转枢纽，外围县市建设县级寄递公共配送中心。“末端配送网”，中心城区围绕“城市一刻钟便民生活圈”</w:t>
      </w:r>
      <w:proofErr w:type="gramStart"/>
      <w:r w:rsidRPr="00137E1D">
        <w:rPr>
          <w:rFonts w:ascii="仿宋_GB2312" w:eastAsia="仿宋_GB2312" w:hint="eastAsia"/>
          <w:bCs/>
          <w:kern w:val="2"/>
          <w:sz w:val="36"/>
          <w:szCs w:val="36"/>
          <w:lang w:eastAsia="zh-CN"/>
        </w:rPr>
        <w:t>布局电</w:t>
      </w:r>
      <w:proofErr w:type="gramEnd"/>
      <w:r w:rsidRPr="00137E1D">
        <w:rPr>
          <w:rFonts w:ascii="仿宋_GB2312" w:eastAsia="仿宋_GB2312" w:hint="eastAsia"/>
          <w:bCs/>
          <w:kern w:val="2"/>
          <w:sz w:val="36"/>
          <w:szCs w:val="36"/>
          <w:lang w:eastAsia="zh-CN"/>
        </w:rPr>
        <w:t>商物流前置仓、快递公共取送点，外围乡村大力支持快递“进村”。</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（五）扩大会展及旅游商业的国内外影响力。</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依托大型会展中心，发展集会议、展览、旅游商贸和星级酒店等为一体的综合服务产业;并对标进博会，发展国际性高端会展业，远期规划</w:t>
      </w:r>
      <w:r w:rsidR="00915E3F" w:rsidRPr="00137E1D">
        <w:rPr>
          <w:rFonts w:ascii="仿宋_GB2312" w:eastAsia="仿宋_GB2312" w:hint="eastAsia"/>
          <w:bCs/>
          <w:kern w:val="2"/>
          <w:sz w:val="36"/>
          <w:szCs w:val="36"/>
          <w:lang w:eastAsia="zh-CN"/>
        </w:rPr>
        <w:t>在长乐空港</w:t>
      </w:r>
      <w:r w:rsidRPr="00137E1D">
        <w:rPr>
          <w:rFonts w:ascii="仿宋_GB2312" w:eastAsia="仿宋_GB2312" w:hint="eastAsia"/>
          <w:bCs/>
          <w:kern w:val="2"/>
          <w:sz w:val="36"/>
          <w:szCs w:val="36"/>
          <w:lang w:eastAsia="zh-CN"/>
        </w:rPr>
        <w:t>预留1处建筑面积为30万平方米的会展中心，促使“海丝”博览会永久落户福州。此外结合主要旅游景区及历史文化街区等历史文化遗存布局商业设施，</w:t>
      </w:r>
      <w:proofErr w:type="gramStart"/>
      <w:r w:rsidRPr="00137E1D">
        <w:rPr>
          <w:rFonts w:ascii="仿宋_GB2312" w:eastAsia="仿宋_GB2312" w:hint="eastAsia"/>
          <w:bCs/>
          <w:kern w:val="2"/>
          <w:sz w:val="36"/>
          <w:szCs w:val="36"/>
          <w:lang w:eastAsia="zh-CN"/>
        </w:rPr>
        <w:t>完善旗</w:t>
      </w:r>
      <w:proofErr w:type="gramEnd"/>
      <w:r w:rsidRPr="00137E1D">
        <w:rPr>
          <w:rFonts w:ascii="仿宋_GB2312" w:eastAsia="仿宋_GB2312" w:hint="eastAsia"/>
          <w:bCs/>
          <w:kern w:val="2"/>
          <w:sz w:val="36"/>
          <w:szCs w:val="36"/>
          <w:lang w:eastAsia="zh-CN"/>
        </w:rPr>
        <w:t>山、闽江口湿地等13处主要景区配套商业，打造</w:t>
      </w:r>
      <w:proofErr w:type="gramStart"/>
      <w:r w:rsidRPr="00137E1D">
        <w:rPr>
          <w:rFonts w:ascii="仿宋_GB2312" w:eastAsia="仿宋_GB2312" w:hint="eastAsia"/>
          <w:bCs/>
          <w:kern w:val="2"/>
          <w:sz w:val="36"/>
          <w:szCs w:val="36"/>
          <w:lang w:eastAsia="zh-CN"/>
        </w:rPr>
        <w:t>特色文旅商业</w:t>
      </w:r>
      <w:proofErr w:type="gramEnd"/>
      <w:r w:rsidRPr="00137E1D">
        <w:rPr>
          <w:rFonts w:ascii="仿宋_GB2312" w:eastAsia="仿宋_GB2312" w:hint="eastAsia"/>
          <w:bCs/>
          <w:kern w:val="2"/>
          <w:sz w:val="36"/>
          <w:szCs w:val="36"/>
          <w:lang w:eastAsia="zh-CN"/>
        </w:rPr>
        <w:t>。</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（六）着力培育电</w:t>
      </w:r>
      <w:proofErr w:type="gramStart"/>
      <w:r w:rsidRPr="00137E1D">
        <w:rPr>
          <w:rFonts w:ascii="楷体_GB2312" w:eastAsia="楷体_GB2312" w:hint="eastAsia"/>
          <w:b/>
          <w:kern w:val="2"/>
          <w:sz w:val="36"/>
          <w:szCs w:val="36"/>
          <w:lang w:eastAsia="zh-CN"/>
        </w:rPr>
        <w:t>商消费</w:t>
      </w:r>
      <w:proofErr w:type="gramEnd"/>
      <w:r w:rsidRPr="00137E1D">
        <w:rPr>
          <w:rFonts w:ascii="楷体_GB2312" w:eastAsia="楷体_GB2312" w:hint="eastAsia"/>
          <w:b/>
          <w:kern w:val="2"/>
          <w:sz w:val="36"/>
          <w:szCs w:val="36"/>
          <w:lang w:eastAsia="zh-CN"/>
        </w:rPr>
        <w:t>产业集群。</w:t>
      </w:r>
    </w:p>
    <w:p w:rsidR="004A4C3B"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依托自贸区福州跨境电子商务园区</w:t>
      </w:r>
      <w:proofErr w:type="gramStart"/>
      <w:r w:rsidRPr="00137E1D">
        <w:rPr>
          <w:rFonts w:ascii="仿宋_GB2312" w:eastAsia="仿宋_GB2312" w:hint="eastAsia"/>
          <w:bCs/>
          <w:kern w:val="2"/>
          <w:sz w:val="36"/>
          <w:szCs w:val="36"/>
          <w:lang w:eastAsia="zh-CN"/>
        </w:rPr>
        <w:t>等电商产业</w:t>
      </w:r>
      <w:proofErr w:type="gramEnd"/>
      <w:r w:rsidRPr="00137E1D">
        <w:rPr>
          <w:rFonts w:ascii="仿宋_GB2312" w:eastAsia="仿宋_GB2312" w:hint="eastAsia"/>
          <w:bCs/>
          <w:kern w:val="2"/>
          <w:sz w:val="36"/>
          <w:szCs w:val="36"/>
          <w:lang w:eastAsia="zh-CN"/>
        </w:rPr>
        <w:t>基地（园区），以数字福州国际品牌建设推动信息技术与传统消费深度融合，推动电商+生活、产业、乡村、跨境服务，建设完善</w:t>
      </w:r>
      <w:r w:rsidR="00873415" w:rsidRPr="00137E1D">
        <w:rPr>
          <w:rFonts w:ascii="仿宋_GB2312" w:eastAsia="仿宋_GB2312" w:hint="eastAsia"/>
          <w:bCs/>
          <w:kern w:val="2"/>
          <w:sz w:val="36"/>
          <w:szCs w:val="36"/>
          <w:lang w:eastAsia="zh-CN"/>
        </w:rPr>
        <w:t>便民电商、</w:t>
      </w:r>
      <w:proofErr w:type="gramStart"/>
      <w:r w:rsidR="00873415" w:rsidRPr="00137E1D">
        <w:rPr>
          <w:rFonts w:ascii="仿宋_GB2312" w:eastAsia="仿宋_GB2312" w:hint="eastAsia"/>
          <w:bCs/>
          <w:kern w:val="2"/>
          <w:sz w:val="36"/>
          <w:szCs w:val="36"/>
          <w:lang w:eastAsia="zh-CN"/>
        </w:rPr>
        <w:t>智慧电</w:t>
      </w:r>
      <w:proofErr w:type="gramEnd"/>
      <w:r w:rsidR="00873415" w:rsidRPr="00137E1D">
        <w:rPr>
          <w:rFonts w:ascii="仿宋_GB2312" w:eastAsia="仿宋_GB2312" w:hint="eastAsia"/>
          <w:bCs/>
          <w:kern w:val="2"/>
          <w:sz w:val="36"/>
          <w:szCs w:val="36"/>
          <w:lang w:eastAsia="zh-CN"/>
        </w:rPr>
        <w:t>商、农村电商、跨境</w:t>
      </w:r>
      <w:r w:rsidR="00873415" w:rsidRPr="00137E1D">
        <w:rPr>
          <w:rFonts w:ascii="仿宋_GB2312" w:eastAsia="仿宋_GB2312" w:hint="eastAsia"/>
          <w:bCs/>
          <w:kern w:val="2"/>
          <w:sz w:val="36"/>
          <w:szCs w:val="36"/>
          <w:lang w:eastAsia="zh-CN"/>
        </w:rPr>
        <w:lastRenderedPageBreak/>
        <w:t>电商</w:t>
      </w:r>
      <w:r w:rsidRPr="00137E1D">
        <w:rPr>
          <w:rFonts w:ascii="仿宋_GB2312" w:eastAsia="仿宋_GB2312" w:hint="eastAsia"/>
          <w:bCs/>
          <w:kern w:val="2"/>
          <w:sz w:val="36"/>
          <w:szCs w:val="36"/>
          <w:lang w:eastAsia="zh-CN"/>
        </w:rPr>
        <w:t>发展体系，打造成为海西智慧商业枢纽，对台数字经济窗口。</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（七）强化其他类型商业发展引导。</w:t>
      </w:r>
    </w:p>
    <w:p w:rsidR="004A4C3B" w:rsidRPr="00137E1D" w:rsidRDefault="00374D13">
      <w:pPr>
        <w:spacing w:line="600" w:lineRule="exact"/>
        <w:ind w:firstLineChars="200" w:firstLine="720"/>
        <w:jc w:val="both"/>
        <w:rPr>
          <w:rFonts w:ascii="仿宋_GB2312" w:eastAsia="仿宋_GB2312"/>
          <w:bCs/>
          <w:kern w:val="2"/>
          <w:sz w:val="36"/>
          <w:szCs w:val="36"/>
          <w:lang w:eastAsia="zh-CN"/>
        </w:rPr>
      </w:pPr>
      <w:r w:rsidRPr="00137E1D">
        <w:rPr>
          <w:rFonts w:ascii="仿宋_GB2312" w:eastAsia="仿宋_GB2312" w:hint="eastAsia"/>
          <w:bCs/>
          <w:kern w:val="2"/>
          <w:sz w:val="36"/>
          <w:szCs w:val="36"/>
          <w:lang w:eastAsia="zh-CN"/>
        </w:rPr>
        <w:t>对创新型商业及餐饮等商业类型，从发展目标、主要任务和政策措施等方面提出详细引导。</w:t>
      </w:r>
    </w:p>
    <w:p w:rsidR="004A4C3B" w:rsidRPr="00137E1D" w:rsidRDefault="00374D13">
      <w:pPr>
        <w:spacing w:line="600" w:lineRule="exact"/>
        <w:ind w:firstLineChars="200" w:firstLine="723"/>
        <w:jc w:val="both"/>
        <w:rPr>
          <w:rFonts w:ascii="楷体_GB2312" w:eastAsia="楷体_GB2312"/>
          <w:b/>
          <w:kern w:val="2"/>
          <w:sz w:val="36"/>
          <w:szCs w:val="36"/>
          <w:lang w:eastAsia="zh-CN"/>
        </w:rPr>
      </w:pPr>
      <w:r w:rsidRPr="00137E1D">
        <w:rPr>
          <w:rFonts w:ascii="楷体_GB2312" w:eastAsia="楷体_GB2312" w:hint="eastAsia"/>
          <w:b/>
          <w:kern w:val="2"/>
          <w:sz w:val="36"/>
          <w:szCs w:val="36"/>
          <w:lang w:eastAsia="zh-CN"/>
        </w:rPr>
        <w:t>（八）打造支持国际消费中心多层级的消费载体。</w:t>
      </w:r>
    </w:p>
    <w:p w:rsidR="004A4C3B" w:rsidRDefault="00374D13">
      <w:pPr>
        <w:spacing w:line="600" w:lineRule="exact"/>
        <w:ind w:firstLineChars="200" w:firstLine="720"/>
        <w:jc w:val="both"/>
        <w:rPr>
          <w:rFonts w:ascii="仿宋_GB2312" w:eastAsia="仿宋_GB2312" w:hint="eastAsia"/>
          <w:bCs/>
          <w:color w:val="000000" w:themeColor="text1"/>
          <w:kern w:val="2"/>
          <w:sz w:val="36"/>
          <w:szCs w:val="36"/>
          <w:lang w:eastAsia="zh-CN"/>
        </w:rPr>
      </w:pPr>
      <w:r w:rsidRPr="00137E1D">
        <w:rPr>
          <w:rFonts w:ascii="仿宋_GB2312" w:eastAsia="仿宋_GB2312" w:hint="eastAsia"/>
          <w:bCs/>
          <w:color w:val="000000" w:themeColor="text1"/>
          <w:kern w:val="2"/>
          <w:sz w:val="36"/>
          <w:szCs w:val="36"/>
          <w:lang w:eastAsia="zh-CN"/>
        </w:rPr>
        <w:t>全面对接国际消费中心城市建设要点：依托“一纵一横一带”的国际知名消费集聚区，发展特色商旅文消费、滨江休闲商务消费和滨海旅游消费；推动国际化商圈建设，围绕打造世界级地标性商圈—“闽江之心”，三宝城（南公园）、</w:t>
      </w:r>
      <w:proofErr w:type="gramStart"/>
      <w:r w:rsidRPr="00137E1D">
        <w:rPr>
          <w:rFonts w:ascii="仿宋_GB2312" w:eastAsia="仿宋_GB2312" w:hint="eastAsia"/>
          <w:bCs/>
          <w:color w:val="000000" w:themeColor="text1"/>
          <w:kern w:val="2"/>
          <w:sz w:val="36"/>
          <w:szCs w:val="36"/>
          <w:lang w:eastAsia="zh-CN"/>
        </w:rPr>
        <w:t>国际茶港城</w:t>
      </w:r>
      <w:proofErr w:type="gramEnd"/>
      <w:r w:rsidRPr="00137E1D">
        <w:rPr>
          <w:rFonts w:ascii="仿宋_GB2312" w:eastAsia="仿宋_GB2312" w:hint="eastAsia"/>
          <w:bCs/>
          <w:color w:val="000000" w:themeColor="text1"/>
          <w:kern w:val="2"/>
          <w:sz w:val="36"/>
          <w:szCs w:val="36"/>
          <w:lang w:eastAsia="zh-CN"/>
        </w:rPr>
        <w:t>、三坊七巷（东</w:t>
      </w:r>
      <w:proofErr w:type="gramStart"/>
      <w:r w:rsidRPr="00137E1D">
        <w:rPr>
          <w:rFonts w:ascii="仿宋_GB2312" w:eastAsia="仿宋_GB2312" w:hint="eastAsia"/>
          <w:bCs/>
          <w:color w:val="000000" w:themeColor="text1"/>
          <w:kern w:val="2"/>
          <w:sz w:val="36"/>
          <w:szCs w:val="36"/>
          <w:lang w:eastAsia="zh-CN"/>
        </w:rPr>
        <w:t>街口商</w:t>
      </w:r>
      <w:proofErr w:type="gramEnd"/>
      <w:r w:rsidRPr="00137E1D">
        <w:rPr>
          <w:rFonts w:ascii="仿宋_GB2312" w:eastAsia="仿宋_GB2312" w:hint="eastAsia"/>
          <w:bCs/>
          <w:color w:val="000000" w:themeColor="text1"/>
          <w:kern w:val="2"/>
          <w:sz w:val="36"/>
          <w:szCs w:val="36"/>
          <w:lang w:eastAsia="zh-CN"/>
        </w:rPr>
        <w:t>圈）、海峡奥体健康城、马尾船</w:t>
      </w:r>
      <w:proofErr w:type="gramStart"/>
      <w:r w:rsidRPr="00137E1D">
        <w:rPr>
          <w:rFonts w:ascii="仿宋_GB2312" w:eastAsia="仿宋_GB2312" w:hint="eastAsia"/>
          <w:bCs/>
          <w:color w:val="000000" w:themeColor="text1"/>
          <w:kern w:val="2"/>
          <w:sz w:val="36"/>
          <w:szCs w:val="36"/>
          <w:lang w:eastAsia="zh-CN"/>
        </w:rPr>
        <w:t>政文化</w:t>
      </w:r>
      <w:proofErr w:type="gramEnd"/>
      <w:r w:rsidRPr="00137E1D">
        <w:rPr>
          <w:rFonts w:ascii="仿宋_GB2312" w:eastAsia="仿宋_GB2312" w:hint="eastAsia"/>
          <w:bCs/>
          <w:color w:val="000000" w:themeColor="text1"/>
          <w:kern w:val="2"/>
          <w:sz w:val="36"/>
          <w:szCs w:val="36"/>
          <w:lang w:eastAsia="zh-CN"/>
        </w:rPr>
        <w:t>城、大学城（科学城）中心共享区、三江口城市会客厅、滨海新城中央活力区及</w:t>
      </w:r>
      <w:proofErr w:type="gramStart"/>
      <w:r w:rsidRPr="00137E1D">
        <w:rPr>
          <w:rFonts w:ascii="仿宋_GB2312" w:eastAsia="仿宋_GB2312" w:hint="eastAsia"/>
          <w:bCs/>
          <w:color w:val="000000" w:themeColor="text1"/>
          <w:kern w:val="2"/>
          <w:sz w:val="36"/>
          <w:szCs w:val="36"/>
          <w:lang w:eastAsia="zh-CN"/>
        </w:rPr>
        <w:t>现有商</w:t>
      </w:r>
      <w:proofErr w:type="gramEnd"/>
      <w:r w:rsidRPr="00137E1D">
        <w:rPr>
          <w:rFonts w:ascii="仿宋_GB2312" w:eastAsia="仿宋_GB2312" w:hint="eastAsia"/>
          <w:bCs/>
          <w:color w:val="000000" w:themeColor="text1"/>
          <w:kern w:val="2"/>
          <w:sz w:val="36"/>
          <w:szCs w:val="36"/>
          <w:lang w:eastAsia="zh-CN"/>
        </w:rPr>
        <w:t>圈国际化提升等9个国际特色消费空间，同时依托长乐空港和松下邮轮母港建设国际空港、邮轮母港商圈；打造多元国际化消费街区，重点推动三坊七巷、上下杭、烟台山和梁</w:t>
      </w:r>
      <w:proofErr w:type="gramStart"/>
      <w:r w:rsidRPr="00137E1D">
        <w:rPr>
          <w:rFonts w:ascii="仿宋_GB2312" w:eastAsia="仿宋_GB2312" w:hint="eastAsia"/>
          <w:bCs/>
          <w:color w:val="000000" w:themeColor="text1"/>
          <w:kern w:val="2"/>
          <w:sz w:val="36"/>
          <w:szCs w:val="36"/>
          <w:lang w:eastAsia="zh-CN"/>
        </w:rPr>
        <w:t>厝</w:t>
      </w:r>
      <w:proofErr w:type="gramEnd"/>
      <w:r w:rsidRPr="00137E1D">
        <w:rPr>
          <w:rFonts w:ascii="仿宋_GB2312" w:eastAsia="仿宋_GB2312" w:hint="eastAsia"/>
          <w:bCs/>
          <w:color w:val="000000" w:themeColor="text1"/>
          <w:kern w:val="2"/>
          <w:sz w:val="36"/>
          <w:szCs w:val="36"/>
          <w:lang w:eastAsia="zh-CN"/>
        </w:rPr>
        <w:t>等街区发展，满足文化消费、旅游购物、餐饮文化品鉴、温泉</w:t>
      </w:r>
      <w:proofErr w:type="gramStart"/>
      <w:r w:rsidRPr="00137E1D">
        <w:rPr>
          <w:rFonts w:ascii="仿宋_GB2312" w:eastAsia="仿宋_GB2312" w:hint="eastAsia"/>
          <w:bCs/>
          <w:color w:val="000000" w:themeColor="text1"/>
          <w:kern w:val="2"/>
          <w:sz w:val="36"/>
          <w:szCs w:val="36"/>
          <w:lang w:eastAsia="zh-CN"/>
        </w:rPr>
        <w:t>康养消费</w:t>
      </w:r>
      <w:proofErr w:type="gramEnd"/>
      <w:r w:rsidRPr="00137E1D">
        <w:rPr>
          <w:rFonts w:ascii="仿宋_GB2312" w:eastAsia="仿宋_GB2312" w:hint="eastAsia"/>
          <w:bCs/>
          <w:color w:val="000000" w:themeColor="text1"/>
          <w:kern w:val="2"/>
          <w:sz w:val="36"/>
          <w:szCs w:val="36"/>
          <w:lang w:eastAsia="zh-CN"/>
        </w:rPr>
        <w:t>等多样化消费需求；深度挖掘福州文化特色，培育福州文化品牌，依托会展旅游体育赛事资源，提升国际影响力，弘扬</w:t>
      </w:r>
      <w:proofErr w:type="gramStart"/>
      <w:r w:rsidRPr="00137E1D">
        <w:rPr>
          <w:rFonts w:ascii="仿宋_GB2312" w:eastAsia="仿宋_GB2312" w:hint="eastAsia"/>
          <w:bCs/>
          <w:color w:val="000000" w:themeColor="text1"/>
          <w:kern w:val="2"/>
          <w:sz w:val="36"/>
          <w:szCs w:val="36"/>
          <w:lang w:eastAsia="zh-CN"/>
        </w:rPr>
        <w:t>福文化</w:t>
      </w:r>
      <w:proofErr w:type="gramEnd"/>
      <w:r w:rsidRPr="00137E1D">
        <w:rPr>
          <w:rFonts w:ascii="仿宋_GB2312" w:eastAsia="仿宋_GB2312" w:hint="eastAsia"/>
          <w:bCs/>
          <w:color w:val="000000" w:themeColor="text1"/>
          <w:kern w:val="2"/>
          <w:sz w:val="36"/>
          <w:szCs w:val="36"/>
          <w:lang w:eastAsia="zh-CN"/>
        </w:rPr>
        <w:t>I</w:t>
      </w:r>
      <w:r w:rsidRPr="00137E1D">
        <w:rPr>
          <w:rFonts w:ascii="仿宋_GB2312" w:eastAsia="仿宋_GB2312"/>
          <w:bCs/>
          <w:color w:val="000000" w:themeColor="text1"/>
          <w:kern w:val="2"/>
          <w:sz w:val="36"/>
          <w:szCs w:val="36"/>
          <w:lang w:eastAsia="zh-CN"/>
        </w:rPr>
        <w:t>P</w:t>
      </w:r>
      <w:r w:rsidRPr="00137E1D">
        <w:rPr>
          <w:rFonts w:ascii="仿宋_GB2312" w:eastAsia="仿宋_GB2312" w:hint="eastAsia"/>
          <w:bCs/>
          <w:color w:val="000000" w:themeColor="text1"/>
          <w:kern w:val="2"/>
          <w:sz w:val="36"/>
          <w:szCs w:val="36"/>
          <w:lang w:eastAsia="zh-CN"/>
        </w:rPr>
        <w:t>。</w:t>
      </w:r>
      <w:bookmarkStart w:id="0" w:name="_GoBack"/>
      <w:bookmarkEnd w:id="0"/>
    </w:p>
    <w:p w:rsidR="00EF748F" w:rsidRDefault="00EF748F" w:rsidP="00EF748F">
      <w:pPr>
        <w:spacing w:line="600" w:lineRule="exact"/>
        <w:ind w:firstLineChars="200" w:firstLine="720"/>
        <w:rPr>
          <w:rFonts w:ascii="黑体" w:eastAsia="黑体" w:hAnsi="黑体" w:cs="黑体" w:hint="eastAsia"/>
          <w:bCs/>
          <w:sz w:val="36"/>
          <w:szCs w:val="36"/>
          <w:lang w:eastAsia="zh-CN"/>
        </w:rPr>
      </w:pPr>
      <w:r w:rsidRPr="00EF748F">
        <w:rPr>
          <w:rFonts w:ascii="黑体" w:eastAsia="黑体" w:hAnsi="黑体" w:cs="黑体" w:hint="eastAsia"/>
          <w:bCs/>
          <w:sz w:val="36"/>
          <w:szCs w:val="36"/>
          <w:lang w:eastAsia="zh-CN"/>
        </w:rPr>
        <w:t>四、主要图纸</w:t>
      </w:r>
    </w:p>
    <w:p w:rsidR="0013593D" w:rsidRDefault="0013593D" w:rsidP="00EF748F">
      <w:pPr>
        <w:spacing w:line="600" w:lineRule="exact"/>
        <w:ind w:firstLineChars="200" w:firstLine="720"/>
        <w:rPr>
          <w:rFonts w:ascii="黑体" w:eastAsia="黑体" w:hAnsi="黑体" w:cs="黑体"/>
          <w:bCs/>
          <w:sz w:val="36"/>
          <w:szCs w:val="36"/>
          <w:lang w:eastAsia="zh-CN"/>
        </w:rPr>
        <w:sectPr w:rsidR="0013593D">
          <w:footerReference w:type="default" r:id="rId8"/>
          <w:pgSz w:w="11907" w:h="16840"/>
          <w:pgMar w:top="1814" w:right="1588" w:bottom="1814" w:left="1588" w:header="720" w:footer="720" w:gutter="0"/>
          <w:cols w:space="720"/>
          <w:docGrid w:linePitch="299"/>
        </w:sectPr>
      </w:pPr>
    </w:p>
    <w:p w:rsidR="00EF748F" w:rsidRPr="00AE3012" w:rsidRDefault="00AE3012" w:rsidP="0013593D">
      <w:pPr>
        <w:spacing w:line="600" w:lineRule="exact"/>
        <w:rPr>
          <w:rFonts w:ascii="仿宋_GB2312" w:eastAsia="仿宋_GB2312" w:hint="eastAsia"/>
          <w:bCs/>
          <w:kern w:val="2"/>
          <w:sz w:val="32"/>
          <w:szCs w:val="36"/>
          <w:lang w:eastAsia="zh-CN"/>
        </w:rPr>
      </w:pPr>
      <w:r>
        <w:rPr>
          <w:rFonts w:ascii="仿宋_GB2312" w:eastAsia="仿宋_GB2312" w:hint="eastAsia"/>
          <w:bCs/>
          <w:noProof/>
          <w:kern w:val="2"/>
          <w:sz w:val="36"/>
          <w:szCs w:val="36"/>
          <w:lang w:eastAsia="zh-CN"/>
        </w:rPr>
        <w:lastRenderedPageBreak/>
        <w:drawing>
          <wp:anchor distT="0" distB="0" distL="114300" distR="114300" simplePos="0" relativeHeight="251658240" behindDoc="0" locked="0" layoutInCell="1" allowOverlap="1" wp14:anchorId="4E32549A" wp14:editId="7BE47D65">
            <wp:simplePos x="0" y="0"/>
            <wp:positionH relativeFrom="column">
              <wp:posOffset>114935</wp:posOffset>
            </wp:positionH>
            <wp:positionV relativeFrom="paragraph">
              <wp:posOffset>525145</wp:posOffset>
            </wp:positionV>
            <wp:extent cx="7835900" cy="5544185"/>
            <wp:effectExtent l="0" t="0" r="0" b="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中心城区城市商业中心规划图-20221124.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835900" cy="5544185"/>
                    </a:xfrm>
                    <a:prstGeom prst="rect">
                      <a:avLst/>
                    </a:prstGeom>
                  </pic:spPr>
                </pic:pic>
              </a:graphicData>
            </a:graphic>
            <wp14:sizeRelH relativeFrom="page">
              <wp14:pctWidth>0</wp14:pctWidth>
            </wp14:sizeRelH>
            <wp14:sizeRelV relativeFrom="page">
              <wp14:pctHeight>0</wp14:pctHeight>
            </wp14:sizeRelV>
          </wp:anchor>
        </w:drawing>
      </w:r>
      <w:r w:rsidRPr="00AE3012">
        <w:rPr>
          <w:rFonts w:ascii="仿宋_GB2312" w:eastAsia="仿宋_GB2312" w:hint="eastAsia"/>
          <w:bCs/>
          <w:kern w:val="2"/>
          <w:sz w:val="32"/>
          <w:szCs w:val="36"/>
          <w:lang w:eastAsia="zh-CN"/>
        </w:rPr>
        <w:t>1、中心城区城市商业中心规划图</w:t>
      </w:r>
    </w:p>
    <w:p w:rsidR="00AE3012" w:rsidRDefault="00AE3012" w:rsidP="0013593D">
      <w:pPr>
        <w:spacing w:line="600" w:lineRule="exact"/>
        <w:rPr>
          <w:rFonts w:ascii="仿宋_GB2312" w:eastAsia="仿宋_GB2312" w:hint="eastAsia"/>
          <w:bCs/>
          <w:kern w:val="2"/>
          <w:sz w:val="36"/>
          <w:szCs w:val="36"/>
          <w:lang w:eastAsia="zh-CN"/>
        </w:rPr>
      </w:pPr>
    </w:p>
    <w:p w:rsidR="00AE3012" w:rsidRDefault="00AE3012" w:rsidP="0013593D">
      <w:pPr>
        <w:spacing w:line="600" w:lineRule="exact"/>
        <w:rPr>
          <w:rFonts w:ascii="仿宋_GB2312" w:eastAsia="仿宋_GB2312" w:hint="eastAsia"/>
          <w:bCs/>
          <w:kern w:val="2"/>
          <w:sz w:val="36"/>
          <w:szCs w:val="36"/>
          <w:lang w:eastAsia="zh-CN"/>
        </w:rPr>
      </w:pPr>
    </w:p>
    <w:p w:rsidR="00AE3012" w:rsidRDefault="00AE3012" w:rsidP="0013593D">
      <w:pPr>
        <w:spacing w:line="600" w:lineRule="exact"/>
        <w:rPr>
          <w:rFonts w:ascii="仿宋_GB2312" w:eastAsia="仿宋_GB2312" w:hint="eastAsia"/>
          <w:bCs/>
          <w:kern w:val="2"/>
          <w:sz w:val="36"/>
          <w:szCs w:val="36"/>
          <w:lang w:eastAsia="zh-CN"/>
        </w:rPr>
      </w:pPr>
    </w:p>
    <w:p w:rsidR="00AE3012" w:rsidRDefault="00AE3012" w:rsidP="0013593D">
      <w:pPr>
        <w:spacing w:line="600" w:lineRule="exact"/>
        <w:rPr>
          <w:rFonts w:ascii="仿宋_GB2312" w:eastAsia="仿宋_GB2312" w:hint="eastAsia"/>
          <w:bCs/>
          <w:kern w:val="2"/>
          <w:sz w:val="36"/>
          <w:szCs w:val="36"/>
          <w:lang w:eastAsia="zh-CN"/>
        </w:rPr>
      </w:pPr>
    </w:p>
    <w:p w:rsidR="00AE3012" w:rsidRDefault="00AE3012" w:rsidP="0013593D">
      <w:pPr>
        <w:spacing w:line="600" w:lineRule="exact"/>
        <w:rPr>
          <w:rFonts w:ascii="仿宋_GB2312" w:eastAsia="仿宋_GB2312"/>
          <w:bCs/>
          <w:kern w:val="2"/>
          <w:sz w:val="36"/>
          <w:szCs w:val="36"/>
          <w:lang w:eastAsia="zh-CN"/>
        </w:rPr>
      </w:pPr>
      <w:r>
        <w:rPr>
          <w:rFonts w:ascii="仿宋_GB2312" w:eastAsia="仿宋_GB2312"/>
          <w:bCs/>
          <w:kern w:val="2"/>
          <w:sz w:val="36"/>
          <w:szCs w:val="36"/>
          <w:lang w:eastAsia="zh-CN"/>
        </w:rPr>
        <w:br w:type="page"/>
      </w:r>
    </w:p>
    <w:p w:rsidR="00AE3012" w:rsidRDefault="00AE3012" w:rsidP="00AE3012">
      <w:pPr>
        <w:spacing w:line="600" w:lineRule="exact"/>
        <w:rPr>
          <w:rFonts w:ascii="仿宋_GB2312" w:eastAsia="仿宋_GB2312" w:hint="eastAsia"/>
          <w:bCs/>
          <w:kern w:val="2"/>
          <w:sz w:val="32"/>
          <w:szCs w:val="36"/>
          <w:lang w:eastAsia="zh-CN"/>
        </w:rPr>
      </w:pPr>
      <w:r>
        <w:rPr>
          <w:rFonts w:ascii="仿宋_GB2312" w:eastAsia="仿宋_GB2312"/>
          <w:bCs/>
          <w:noProof/>
          <w:kern w:val="2"/>
          <w:sz w:val="36"/>
          <w:szCs w:val="36"/>
          <w:lang w:eastAsia="zh-CN"/>
        </w:rPr>
        <w:lastRenderedPageBreak/>
        <w:drawing>
          <wp:anchor distT="0" distB="0" distL="114300" distR="114300" simplePos="0" relativeHeight="251659264" behindDoc="0" locked="0" layoutInCell="1" allowOverlap="1" wp14:anchorId="38350B58" wp14:editId="660107FB">
            <wp:simplePos x="0" y="0"/>
            <wp:positionH relativeFrom="column">
              <wp:posOffset>327660</wp:posOffset>
            </wp:positionH>
            <wp:positionV relativeFrom="paragraph">
              <wp:posOffset>424180</wp:posOffset>
            </wp:positionV>
            <wp:extent cx="7835900" cy="5544185"/>
            <wp:effectExtent l="0" t="0" r="0" b="0"/>
            <wp:wrapSquare wrapText="bothSides"/>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中心城区社区商业中心规划图-20220218.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835900" cy="5544185"/>
                    </a:xfrm>
                    <a:prstGeom prst="rect">
                      <a:avLst/>
                    </a:prstGeom>
                  </pic:spPr>
                </pic:pic>
              </a:graphicData>
            </a:graphic>
            <wp14:sizeRelH relativeFrom="page">
              <wp14:pctWidth>0</wp14:pctWidth>
            </wp14:sizeRelH>
            <wp14:sizeRelV relativeFrom="page">
              <wp14:pctHeight>0</wp14:pctHeight>
            </wp14:sizeRelV>
          </wp:anchor>
        </w:drawing>
      </w:r>
      <w:r>
        <w:rPr>
          <w:rFonts w:ascii="仿宋_GB2312" w:eastAsia="仿宋_GB2312" w:hint="eastAsia"/>
          <w:bCs/>
          <w:kern w:val="2"/>
          <w:sz w:val="32"/>
          <w:szCs w:val="36"/>
          <w:lang w:eastAsia="zh-CN"/>
        </w:rPr>
        <w:t>2</w:t>
      </w:r>
      <w:r w:rsidRPr="00AE3012">
        <w:rPr>
          <w:rFonts w:ascii="仿宋_GB2312" w:eastAsia="仿宋_GB2312" w:hint="eastAsia"/>
          <w:bCs/>
          <w:kern w:val="2"/>
          <w:sz w:val="32"/>
          <w:szCs w:val="36"/>
          <w:lang w:eastAsia="zh-CN"/>
        </w:rPr>
        <w:t>、中心城区</w:t>
      </w:r>
      <w:r>
        <w:rPr>
          <w:rFonts w:ascii="仿宋_GB2312" w:eastAsia="仿宋_GB2312" w:hint="eastAsia"/>
          <w:bCs/>
          <w:kern w:val="2"/>
          <w:sz w:val="32"/>
          <w:szCs w:val="36"/>
          <w:lang w:eastAsia="zh-CN"/>
        </w:rPr>
        <w:t>社区商业</w:t>
      </w:r>
      <w:r w:rsidRPr="00AE3012">
        <w:rPr>
          <w:rFonts w:ascii="仿宋_GB2312" w:eastAsia="仿宋_GB2312" w:hint="eastAsia"/>
          <w:bCs/>
          <w:kern w:val="2"/>
          <w:sz w:val="32"/>
          <w:szCs w:val="36"/>
          <w:lang w:eastAsia="zh-CN"/>
        </w:rPr>
        <w:t>中心规划图</w:t>
      </w:r>
    </w:p>
    <w:p w:rsidR="00AE3012" w:rsidRDefault="00AE3012" w:rsidP="00AE3012">
      <w:pPr>
        <w:spacing w:line="600" w:lineRule="exact"/>
        <w:rPr>
          <w:rFonts w:ascii="仿宋_GB2312" w:eastAsia="仿宋_GB2312" w:hint="eastAsia"/>
          <w:bCs/>
          <w:kern w:val="2"/>
          <w:sz w:val="32"/>
          <w:szCs w:val="36"/>
          <w:lang w:eastAsia="zh-CN"/>
        </w:rPr>
      </w:pPr>
      <w:r>
        <w:rPr>
          <w:rFonts w:ascii="仿宋_GB2312" w:eastAsia="仿宋_GB2312" w:hint="eastAsia"/>
          <w:bCs/>
          <w:kern w:val="2"/>
          <w:sz w:val="32"/>
          <w:szCs w:val="36"/>
          <w:lang w:eastAsia="zh-CN"/>
        </w:rPr>
        <w:lastRenderedPageBreak/>
        <w:t>3</w:t>
      </w:r>
      <w:r w:rsidRPr="00AE3012">
        <w:rPr>
          <w:rFonts w:ascii="仿宋_GB2312" w:eastAsia="仿宋_GB2312" w:hint="eastAsia"/>
          <w:bCs/>
          <w:kern w:val="2"/>
          <w:sz w:val="32"/>
          <w:szCs w:val="36"/>
          <w:lang w:eastAsia="zh-CN"/>
        </w:rPr>
        <w:t>、中心城区</w:t>
      </w:r>
      <w:r>
        <w:rPr>
          <w:rFonts w:ascii="仿宋_GB2312" w:eastAsia="仿宋_GB2312" w:hint="eastAsia"/>
          <w:bCs/>
          <w:kern w:val="2"/>
          <w:sz w:val="32"/>
          <w:szCs w:val="36"/>
          <w:lang w:eastAsia="zh-CN"/>
        </w:rPr>
        <w:t>商品市场</w:t>
      </w:r>
      <w:r w:rsidRPr="00AE3012">
        <w:rPr>
          <w:rFonts w:ascii="仿宋_GB2312" w:eastAsia="仿宋_GB2312" w:hint="eastAsia"/>
          <w:bCs/>
          <w:kern w:val="2"/>
          <w:sz w:val="32"/>
          <w:szCs w:val="36"/>
          <w:lang w:eastAsia="zh-CN"/>
        </w:rPr>
        <w:t>规划图</w:t>
      </w:r>
    </w:p>
    <w:p w:rsidR="00AE3012" w:rsidRPr="00AE3012" w:rsidRDefault="00AE3012" w:rsidP="00AE3012">
      <w:pPr>
        <w:spacing w:line="600" w:lineRule="exact"/>
        <w:rPr>
          <w:rFonts w:ascii="仿宋_GB2312" w:eastAsia="仿宋_GB2312" w:hint="eastAsia"/>
          <w:bCs/>
          <w:kern w:val="2"/>
          <w:sz w:val="32"/>
          <w:szCs w:val="36"/>
          <w:lang w:eastAsia="zh-CN"/>
        </w:rPr>
      </w:pPr>
      <w:r>
        <w:rPr>
          <w:rFonts w:ascii="仿宋_GB2312" w:eastAsia="仿宋_GB2312" w:hint="eastAsia"/>
          <w:bCs/>
          <w:noProof/>
          <w:kern w:val="2"/>
          <w:sz w:val="32"/>
          <w:szCs w:val="36"/>
          <w:lang w:eastAsia="zh-CN"/>
        </w:rPr>
        <w:drawing>
          <wp:anchor distT="0" distB="0" distL="114300" distR="114300" simplePos="0" relativeHeight="251660288" behindDoc="0" locked="0" layoutInCell="1" allowOverlap="1" wp14:anchorId="1E7A9AA9" wp14:editId="608C0F1F">
            <wp:simplePos x="0" y="0"/>
            <wp:positionH relativeFrom="column">
              <wp:posOffset>173355</wp:posOffset>
            </wp:positionH>
            <wp:positionV relativeFrom="paragraph">
              <wp:posOffset>111125</wp:posOffset>
            </wp:positionV>
            <wp:extent cx="7835900" cy="5544185"/>
            <wp:effectExtent l="0" t="0" r="0" b="0"/>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中心城区商品市场布局规划图-2022081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35900" cy="5544185"/>
                    </a:xfrm>
                    <a:prstGeom prst="rect">
                      <a:avLst/>
                    </a:prstGeom>
                  </pic:spPr>
                </pic:pic>
              </a:graphicData>
            </a:graphic>
            <wp14:sizeRelH relativeFrom="page">
              <wp14:pctWidth>0</wp14:pctWidth>
            </wp14:sizeRelH>
            <wp14:sizeRelV relativeFrom="page">
              <wp14:pctHeight>0</wp14:pctHeight>
            </wp14:sizeRelV>
          </wp:anchor>
        </w:drawing>
      </w:r>
    </w:p>
    <w:p w:rsidR="00AE3012" w:rsidRDefault="00AE3012" w:rsidP="0013593D">
      <w:pPr>
        <w:spacing w:line="600" w:lineRule="exact"/>
        <w:rPr>
          <w:rFonts w:ascii="仿宋_GB2312" w:eastAsia="仿宋_GB2312" w:hint="eastAsia"/>
          <w:bCs/>
          <w:kern w:val="2"/>
          <w:sz w:val="36"/>
          <w:szCs w:val="36"/>
          <w:lang w:eastAsia="zh-CN"/>
        </w:rPr>
      </w:pPr>
    </w:p>
    <w:p w:rsidR="00AE3012" w:rsidRDefault="00AE3012" w:rsidP="0013593D">
      <w:pPr>
        <w:spacing w:line="600" w:lineRule="exact"/>
        <w:rPr>
          <w:rFonts w:ascii="仿宋_GB2312" w:eastAsia="仿宋_GB2312"/>
          <w:bCs/>
          <w:kern w:val="2"/>
          <w:sz w:val="36"/>
          <w:szCs w:val="36"/>
          <w:lang w:eastAsia="zh-CN"/>
        </w:rPr>
      </w:pPr>
      <w:r>
        <w:rPr>
          <w:rFonts w:ascii="仿宋_GB2312" w:eastAsia="仿宋_GB2312"/>
          <w:bCs/>
          <w:kern w:val="2"/>
          <w:sz w:val="36"/>
          <w:szCs w:val="36"/>
          <w:lang w:eastAsia="zh-CN"/>
        </w:rPr>
        <w:br w:type="page"/>
      </w:r>
    </w:p>
    <w:p w:rsidR="00AE3012" w:rsidRDefault="00AE3012" w:rsidP="0013593D">
      <w:pPr>
        <w:spacing w:line="600" w:lineRule="exact"/>
        <w:rPr>
          <w:rFonts w:ascii="仿宋_GB2312" w:eastAsia="仿宋_GB2312" w:hint="eastAsia"/>
          <w:bCs/>
          <w:kern w:val="2"/>
          <w:sz w:val="32"/>
          <w:szCs w:val="36"/>
          <w:lang w:eastAsia="zh-CN"/>
        </w:rPr>
      </w:pPr>
      <w:r>
        <w:rPr>
          <w:rFonts w:ascii="仿宋_GB2312" w:eastAsia="仿宋_GB2312" w:hint="eastAsia"/>
          <w:bCs/>
          <w:kern w:val="2"/>
          <w:sz w:val="36"/>
          <w:szCs w:val="36"/>
          <w:lang w:eastAsia="zh-CN"/>
        </w:rPr>
        <w:lastRenderedPageBreak/>
        <w:t>4、</w:t>
      </w:r>
      <w:r>
        <w:rPr>
          <w:rFonts w:ascii="仿宋_GB2312" w:eastAsia="仿宋_GB2312" w:hint="eastAsia"/>
          <w:bCs/>
          <w:kern w:val="2"/>
          <w:sz w:val="32"/>
          <w:szCs w:val="36"/>
          <w:lang w:eastAsia="zh-CN"/>
        </w:rPr>
        <w:t>市域商贸物流体系</w:t>
      </w:r>
      <w:r w:rsidRPr="00AE3012">
        <w:rPr>
          <w:rFonts w:ascii="仿宋_GB2312" w:eastAsia="仿宋_GB2312" w:hint="eastAsia"/>
          <w:bCs/>
          <w:kern w:val="2"/>
          <w:sz w:val="32"/>
          <w:szCs w:val="36"/>
          <w:lang w:eastAsia="zh-CN"/>
        </w:rPr>
        <w:t>规划图</w:t>
      </w:r>
    </w:p>
    <w:p w:rsidR="00AE3012" w:rsidRDefault="00AE3012" w:rsidP="0013593D">
      <w:pPr>
        <w:spacing w:line="600" w:lineRule="exact"/>
        <w:rPr>
          <w:rFonts w:ascii="仿宋_GB2312" w:eastAsia="仿宋_GB2312" w:hint="eastAsia"/>
          <w:bCs/>
          <w:kern w:val="2"/>
          <w:sz w:val="36"/>
          <w:szCs w:val="36"/>
          <w:lang w:eastAsia="zh-CN"/>
        </w:rPr>
      </w:pPr>
      <w:r>
        <w:rPr>
          <w:rFonts w:ascii="仿宋_GB2312" w:eastAsia="仿宋_GB2312"/>
          <w:bCs/>
          <w:noProof/>
          <w:kern w:val="2"/>
          <w:sz w:val="36"/>
          <w:szCs w:val="36"/>
          <w:lang w:eastAsia="zh-CN"/>
        </w:rPr>
        <w:drawing>
          <wp:anchor distT="0" distB="0" distL="114300" distR="114300" simplePos="0" relativeHeight="251661312" behindDoc="0" locked="0" layoutInCell="1" allowOverlap="1" wp14:anchorId="73AC1E7B" wp14:editId="2D1A3DF6">
            <wp:simplePos x="0" y="0"/>
            <wp:positionH relativeFrom="column">
              <wp:posOffset>139700</wp:posOffset>
            </wp:positionH>
            <wp:positionV relativeFrom="paragraph">
              <wp:posOffset>117475</wp:posOffset>
            </wp:positionV>
            <wp:extent cx="7835900" cy="5544185"/>
            <wp:effectExtent l="0" t="0" r="0" b="0"/>
            <wp:wrapSquare wrapText="bothSides"/>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9-市域商贸物流体系规划图-2022083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835900" cy="5544185"/>
                    </a:xfrm>
                    <a:prstGeom prst="rect">
                      <a:avLst/>
                    </a:prstGeom>
                  </pic:spPr>
                </pic:pic>
              </a:graphicData>
            </a:graphic>
            <wp14:sizeRelH relativeFrom="page">
              <wp14:pctWidth>0</wp14:pctWidth>
            </wp14:sizeRelH>
            <wp14:sizeRelV relativeFrom="page">
              <wp14:pctHeight>0</wp14:pctHeight>
            </wp14:sizeRelV>
          </wp:anchor>
        </w:drawing>
      </w:r>
    </w:p>
    <w:p w:rsidR="00AE3012" w:rsidRDefault="00AE3012" w:rsidP="0013593D">
      <w:pPr>
        <w:spacing w:line="600" w:lineRule="exact"/>
        <w:rPr>
          <w:rFonts w:ascii="仿宋_GB2312" w:eastAsia="仿宋_GB2312"/>
          <w:bCs/>
          <w:kern w:val="2"/>
          <w:sz w:val="36"/>
          <w:szCs w:val="36"/>
          <w:lang w:eastAsia="zh-CN"/>
        </w:rPr>
      </w:pPr>
      <w:r>
        <w:rPr>
          <w:rFonts w:ascii="仿宋_GB2312" w:eastAsia="仿宋_GB2312"/>
          <w:bCs/>
          <w:kern w:val="2"/>
          <w:sz w:val="36"/>
          <w:szCs w:val="36"/>
          <w:lang w:eastAsia="zh-CN"/>
        </w:rPr>
        <w:br w:type="page"/>
      </w:r>
    </w:p>
    <w:p w:rsidR="00AE3012" w:rsidRDefault="00AE3012" w:rsidP="00AE3012">
      <w:pPr>
        <w:spacing w:line="600" w:lineRule="exact"/>
        <w:rPr>
          <w:rFonts w:ascii="仿宋_GB2312" w:eastAsia="仿宋_GB2312" w:hint="eastAsia"/>
          <w:bCs/>
          <w:kern w:val="2"/>
          <w:sz w:val="32"/>
          <w:szCs w:val="36"/>
          <w:lang w:eastAsia="zh-CN"/>
        </w:rPr>
      </w:pPr>
      <w:r>
        <w:rPr>
          <w:rFonts w:ascii="仿宋_GB2312" w:eastAsia="仿宋_GB2312"/>
          <w:bCs/>
          <w:noProof/>
          <w:kern w:val="2"/>
          <w:sz w:val="36"/>
          <w:szCs w:val="36"/>
          <w:lang w:eastAsia="zh-CN"/>
        </w:rPr>
        <w:lastRenderedPageBreak/>
        <w:drawing>
          <wp:anchor distT="0" distB="0" distL="114300" distR="114300" simplePos="0" relativeHeight="251662336" behindDoc="0" locked="0" layoutInCell="1" allowOverlap="1" wp14:anchorId="09986ADF" wp14:editId="37489FE4">
            <wp:simplePos x="0" y="0"/>
            <wp:positionH relativeFrom="column">
              <wp:posOffset>312420</wp:posOffset>
            </wp:positionH>
            <wp:positionV relativeFrom="paragraph">
              <wp:posOffset>541020</wp:posOffset>
            </wp:positionV>
            <wp:extent cx="7835900" cy="5544185"/>
            <wp:effectExtent l="0" t="0" r="0" b="0"/>
            <wp:wrapSquare wrapText="bothSides"/>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国际知名消费集聚区分布示意图-20220908.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835900" cy="5544185"/>
                    </a:xfrm>
                    <a:prstGeom prst="rect">
                      <a:avLst/>
                    </a:prstGeom>
                  </pic:spPr>
                </pic:pic>
              </a:graphicData>
            </a:graphic>
            <wp14:sizeRelH relativeFrom="page">
              <wp14:pctWidth>0</wp14:pctWidth>
            </wp14:sizeRelH>
            <wp14:sizeRelV relativeFrom="page">
              <wp14:pctHeight>0</wp14:pctHeight>
            </wp14:sizeRelV>
          </wp:anchor>
        </w:drawing>
      </w:r>
      <w:r>
        <w:rPr>
          <w:rFonts w:ascii="仿宋_GB2312" w:eastAsia="仿宋_GB2312" w:hint="eastAsia"/>
          <w:bCs/>
          <w:kern w:val="2"/>
          <w:sz w:val="36"/>
          <w:szCs w:val="36"/>
          <w:lang w:eastAsia="zh-CN"/>
        </w:rPr>
        <w:t>5</w:t>
      </w:r>
      <w:r>
        <w:rPr>
          <w:rFonts w:ascii="仿宋_GB2312" w:eastAsia="仿宋_GB2312" w:hint="eastAsia"/>
          <w:bCs/>
          <w:kern w:val="2"/>
          <w:sz w:val="36"/>
          <w:szCs w:val="36"/>
          <w:lang w:eastAsia="zh-CN"/>
        </w:rPr>
        <w:t>、</w:t>
      </w:r>
      <w:r>
        <w:rPr>
          <w:rFonts w:ascii="仿宋_GB2312" w:eastAsia="仿宋_GB2312" w:hint="eastAsia"/>
          <w:bCs/>
          <w:kern w:val="2"/>
          <w:sz w:val="32"/>
          <w:szCs w:val="36"/>
          <w:lang w:eastAsia="zh-CN"/>
        </w:rPr>
        <w:t>国际知名消费集聚区分布</w:t>
      </w:r>
      <w:r w:rsidRPr="00AE3012">
        <w:rPr>
          <w:rFonts w:ascii="仿宋_GB2312" w:eastAsia="仿宋_GB2312" w:hint="eastAsia"/>
          <w:bCs/>
          <w:kern w:val="2"/>
          <w:sz w:val="32"/>
          <w:szCs w:val="36"/>
          <w:lang w:eastAsia="zh-CN"/>
        </w:rPr>
        <w:t>图</w:t>
      </w:r>
    </w:p>
    <w:sectPr w:rsidR="00AE3012" w:rsidSect="0013593D">
      <w:pgSz w:w="16840" w:h="11907" w:orient="landscape"/>
      <w:pgMar w:top="1588" w:right="1814" w:bottom="1588" w:left="1814"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E3F" w:rsidRDefault="00915E3F">
      <w:r>
        <w:separator/>
      </w:r>
    </w:p>
  </w:endnote>
  <w:endnote w:type="continuationSeparator" w:id="0">
    <w:p w:rsidR="00915E3F" w:rsidRDefault="00915E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icrosoft JhengHei">
    <w:panose1 w:val="020B0604030504040204"/>
    <w:charset w:val="88"/>
    <w:family w:val="swiss"/>
    <w:pitch w:val="variable"/>
    <w:sig w:usb0="00000087" w:usb1="288F4000" w:usb2="00000016" w:usb3="00000000" w:csb0="00100009"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1303277"/>
    </w:sdtPr>
    <w:sdtEndPr>
      <w:rPr>
        <w:sz w:val="24"/>
      </w:rPr>
    </w:sdtEndPr>
    <w:sdtContent>
      <w:p w:rsidR="00915E3F" w:rsidRDefault="00915E3F">
        <w:pPr>
          <w:pStyle w:val="a6"/>
          <w:jc w:val="center"/>
          <w:rPr>
            <w:sz w:val="24"/>
          </w:rPr>
        </w:pPr>
        <w:r>
          <w:rPr>
            <w:sz w:val="24"/>
          </w:rPr>
          <w:fldChar w:fldCharType="begin"/>
        </w:r>
        <w:r>
          <w:rPr>
            <w:sz w:val="24"/>
          </w:rPr>
          <w:instrText>PAGE   \* MERGEFORMAT</w:instrText>
        </w:r>
        <w:r>
          <w:rPr>
            <w:sz w:val="24"/>
          </w:rPr>
          <w:fldChar w:fldCharType="separate"/>
        </w:r>
        <w:r w:rsidR="00333070" w:rsidRPr="00333070">
          <w:rPr>
            <w:noProof/>
            <w:sz w:val="24"/>
            <w:lang w:val="zh-CN" w:eastAsia="zh-CN"/>
          </w:rPr>
          <w:t>10</w:t>
        </w:r>
        <w:r>
          <w:rPr>
            <w:sz w:val="24"/>
          </w:rPr>
          <w:fldChar w:fldCharType="end"/>
        </w:r>
      </w:p>
    </w:sdtContent>
  </w:sdt>
  <w:p w:rsidR="00915E3F" w:rsidRDefault="00915E3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E3F" w:rsidRDefault="00915E3F">
      <w:r>
        <w:separator/>
      </w:r>
    </w:p>
  </w:footnote>
  <w:footnote w:type="continuationSeparator" w:id="0">
    <w:p w:rsidR="00915E3F" w:rsidRDefault="00915E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5273"/>
    <w:rsid w:val="9FDFF9B8"/>
    <w:rsid w:val="CF7FC969"/>
    <w:rsid w:val="DF314B8E"/>
    <w:rsid w:val="EE9E6B5E"/>
    <w:rsid w:val="EEE13177"/>
    <w:rsid w:val="EFC4B26D"/>
    <w:rsid w:val="FA6AEF33"/>
    <w:rsid w:val="FD37E664"/>
    <w:rsid w:val="00003984"/>
    <w:rsid w:val="00011E2F"/>
    <w:rsid w:val="00012597"/>
    <w:rsid w:val="00013DC0"/>
    <w:rsid w:val="00024A9A"/>
    <w:rsid w:val="00025436"/>
    <w:rsid w:val="000262F5"/>
    <w:rsid w:val="00027D0A"/>
    <w:rsid w:val="000301A2"/>
    <w:rsid w:val="00030592"/>
    <w:rsid w:val="00035B34"/>
    <w:rsid w:val="0004517B"/>
    <w:rsid w:val="000538CF"/>
    <w:rsid w:val="00062BFD"/>
    <w:rsid w:val="00063123"/>
    <w:rsid w:val="0006549C"/>
    <w:rsid w:val="0008609B"/>
    <w:rsid w:val="00090CD6"/>
    <w:rsid w:val="00090DCC"/>
    <w:rsid w:val="0009418F"/>
    <w:rsid w:val="000A2C8F"/>
    <w:rsid w:val="000A4E6D"/>
    <w:rsid w:val="000A7A84"/>
    <w:rsid w:val="000B4389"/>
    <w:rsid w:val="000C0102"/>
    <w:rsid w:val="000C0CC4"/>
    <w:rsid w:val="000C4F85"/>
    <w:rsid w:val="000C6195"/>
    <w:rsid w:val="000D0A51"/>
    <w:rsid w:val="000D1C37"/>
    <w:rsid w:val="000D1C9D"/>
    <w:rsid w:val="000D55C8"/>
    <w:rsid w:val="000D5A4C"/>
    <w:rsid w:val="000E1A9A"/>
    <w:rsid w:val="000E339C"/>
    <w:rsid w:val="000E7D40"/>
    <w:rsid w:val="000F2023"/>
    <w:rsid w:val="000F34D5"/>
    <w:rsid w:val="000F6C80"/>
    <w:rsid w:val="000F70FA"/>
    <w:rsid w:val="00104010"/>
    <w:rsid w:val="00106992"/>
    <w:rsid w:val="0011247F"/>
    <w:rsid w:val="00112EE3"/>
    <w:rsid w:val="00127E27"/>
    <w:rsid w:val="0013593D"/>
    <w:rsid w:val="00137E1D"/>
    <w:rsid w:val="00140D86"/>
    <w:rsid w:val="001420E0"/>
    <w:rsid w:val="00146ACD"/>
    <w:rsid w:val="00150B92"/>
    <w:rsid w:val="001523BD"/>
    <w:rsid w:val="00154823"/>
    <w:rsid w:val="00155E38"/>
    <w:rsid w:val="001561F5"/>
    <w:rsid w:val="00165F46"/>
    <w:rsid w:val="001714DD"/>
    <w:rsid w:val="00173596"/>
    <w:rsid w:val="00173C91"/>
    <w:rsid w:val="001753A7"/>
    <w:rsid w:val="00175578"/>
    <w:rsid w:val="00176724"/>
    <w:rsid w:val="0017741F"/>
    <w:rsid w:val="0017787D"/>
    <w:rsid w:val="0018438D"/>
    <w:rsid w:val="00184F35"/>
    <w:rsid w:val="00195CBC"/>
    <w:rsid w:val="001962CF"/>
    <w:rsid w:val="00196AF1"/>
    <w:rsid w:val="001A01B4"/>
    <w:rsid w:val="001A0A53"/>
    <w:rsid w:val="001A2E82"/>
    <w:rsid w:val="001A5DCE"/>
    <w:rsid w:val="001B40DA"/>
    <w:rsid w:val="001B58C5"/>
    <w:rsid w:val="001C15DB"/>
    <w:rsid w:val="001C2C77"/>
    <w:rsid w:val="001C7011"/>
    <w:rsid w:val="001D0D24"/>
    <w:rsid w:val="001D137B"/>
    <w:rsid w:val="001D63B5"/>
    <w:rsid w:val="001D6B07"/>
    <w:rsid w:val="001D74B4"/>
    <w:rsid w:val="001D757D"/>
    <w:rsid w:val="001E1397"/>
    <w:rsid w:val="001E33B8"/>
    <w:rsid w:val="001E5984"/>
    <w:rsid w:val="001E6C0C"/>
    <w:rsid w:val="001F05DE"/>
    <w:rsid w:val="001F4E21"/>
    <w:rsid w:val="00206225"/>
    <w:rsid w:val="00211443"/>
    <w:rsid w:val="00212653"/>
    <w:rsid w:val="002129CA"/>
    <w:rsid w:val="00220557"/>
    <w:rsid w:val="00226338"/>
    <w:rsid w:val="002276E0"/>
    <w:rsid w:val="002317BF"/>
    <w:rsid w:val="00233556"/>
    <w:rsid w:val="00236469"/>
    <w:rsid w:val="00236A3B"/>
    <w:rsid w:val="00237007"/>
    <w:rsid w:val="00237FCF"/>
    <w:rsid w:val="00241439"/>
    <w:rsid w:val="0024249D"/>
    <w:rsid w:val="00250A67"/>
    <w:rsid w:val="00250BA9"/>
    <w:rsid w:val="00260D5A"/>
    <w:rsid w:val="0026370A"/>
    <w:rsid w:val="002658C7"/>
    <w:rsid w:val="00271F49"/>
    <w:rsid w:val="00272132"/>
    <w:rsid w:val="00275C5E"/>
    <w:rsid w:val="00276795"/>
    <w:rsid w:val="0027710F"/>
    <w:rsid w:val="00282DC3"/>
    <w:rsid w:val="002851A9"/>
    <w:rsid w:val="002868A0"/>
    <w:rsid w:val="002870D1"/>
    <w:rsid w:val="00290B31"/>
    <w:rsid w:val="00291D21"/>
    <w:rsid w:val="00293B77"/>
    <w:rsid w:val="002944AD"/>
    <w:rsid w:val="0029474E"/>
    <w:rsid w:val="00295984"/>
    <w:rsid w:val="002A37B9"/>
    <w:rsid w:val="002A69CE"/>
    <w:rsid w:val="002B0CFF"/>
    <w:rsid w:val="002B321C"/>
    <w:rsid w:val="002B5A3D"/>
    <w:rsid w:val="002C1E77"/>
    <w:rsid w:val="002C2FFD"/>
    <w:rsid w:val="002C3598"/>
    <w:rsid w:val="002C372F"/>
    <w:rsid w:val="002D4EEB"/>
    <w:rsid w:val="002D6B58"/>
    <w:rsid w:val="002D799E"/>
    <w:rsid w:val="002E13B9"/>
    <w:rsid w:val="002F08BF"/>
    <w:rsid w:val="002F1015"/>
    <w:rsid w:val="002F18BE"/>
    <w:rsid w:val="002F409E"/>
    <w:rsid w:val="002F63AF"/>
    <w:rsid w:val="00302BCF"/>
    <w:rsid w:val="003051E8"/>
    <w:rsid w:val="00305278"/>
    <w:rsid w:val="00306B0D"/>
    <w:rsid w:val="00307774"/>
    <w:rsid w:val="00310B9D"/>
    <w:rsid w:val="00320598"/>
    <w:rsid w:val="003238BC"/>
    <w:rsid w:val="00325FBF"/>
    <w:rsid w:val="00326C29"/>
    <w:rsid w:val="00327C48"/>
    <w:rsid w:val="003302A2"/>
    <w:rsid w:val="003306F3"/>
    <w:rsid w:val="00333070"/>
    <w:rsid w:val="003332DA"/>
    <w:rsid w:val="0034448A"/>
    <w:rsid w:val="00350E29"/>
    <w:rsid w:val="00353FB3"/>
    <w:rsid w:val="0036178E"/>
    <w:rsid w:val="003624B5"/>
    <w:rsid w:val="00363313"/>
    <w:rsid w:val="00366835"/>
    <w:rsid w:val="00366F35"/>
    <w:rsid w:val="00374D13"/>
    <w:rsid w:val="0037676F"/>
    <w:rsid w:val="003774C0"/>
    <w:rsid w:val="00384641"/>
    <w:rsid w:val="00391ED6"/>
    <w:rsid w:val="003A3854"/>
    <w:rsid w:val="003B252B"/>
    <w:rsid w:val="003B4495"/>
    <w:rsid w:val="003B4D36"/>
    <w:rsid w:val="003B4EC1"/>
    <w:rsid w:val="003B61E5"/>
    <w:rsid w:val="003D6301"/>
    <w:rsid w:val="003D6FE0"/>
    <w:rsid w:val="003D7938"/>
    <w:rsid w:val="003E45B7"/>
    <w:rsid w:val="003E731B"/>
    <w:rsid w:val="003F0BDF"/>
    <w:rsid w:val="003F6279"/>
    <w:rsid w:val="003F6F67"/>
    <w:rsid w:val="00404F06"/>
    <w:rsid w:val="00405FD7"/>
    <w:rsid w:val="00410F8D"/>
    <w:rsid w:val="00412508"/>
    <w:rsid w:val="00412D27"/>
    <w:rsid w:val="00412F8C"/>
    <w:rsid w:val="00413730"/>
    <w:rsid w:val="0041412F"/>
    <w:rsid w:val="00414C91"/>
    <w:rsid w:val="00415282"/>
    <w:rsid w:val="0041685E"/>
    <w:rsid w:val="00416B70"/>
    <w:rsid w:val="00417311"/>
    <w:rsid w:val="0042578E"/>
    <w:rsid w:val="00426525"/>
    <w:rsid w:val="004347DA"/>
    <w:rsid w:val="004357FE"/>
    <w:rsid w:val="00436F4A"/>
    <w:rsid w:val="00450204"/>
    <w:rsid w:val="004515C9"/>
    <w:rsid w:val="004568A1"/>
    <w:rsid w:val="00461237"/>
    <w:rsid w:val="004619E0"/>
    <w:rsid w:val="00462906"/>
    <w:rsid w:val="004642F7"/>
    <w:rsid w:val="004649FA"/>
    <w:rsid w:val="00471C28"/>
    <w:rsid w:val="00474216"/>
    <w:rsid w:val="004756F2"/>
    <w:rsid w:val="00475913"/>
    <w:rsid w:val="00481D44"/>
    <w:rsid w:val="00485677"/>
    <w:rsid w:val="00486421"/>
    <w:rsid w:val="0049087A"/>
    <w:rsid w:val="0049092B"/>
    <w:rsid w:val="00490B99"/>
    <w:rsid w:val="00491FC4"/>
    <w:rsid w:val="00495EB1"/>
    <w:rsid w:val="004A004C"/>
    <w:rsid w:val="004A4C3B"/>
    <w:rsid w:val="004A5889"/>
    <w:rsid w:val="004A6513"/>
    <w:rsid w:val="004B129E"/>
    <w:rsid w:val="004B2541"/>
    <w:rsid w:val="004C3317"/>
    <w:rsid w:val="004C424F"/>
    <w:rsid w:val="004D0CEC"/>
    <w:rsid w:val="004D15FC"/>
    <w:rsid w:val="004D322D"/>
    <w:rsid w:val="004D44E4"/>
    <w:rsid w:val="004E3218"/>
    <w:rsid w:val="004E462A"/>
    <w:rsid w:val="004E6B6C"/>
    <w:rsid w:val="004F3691"/>
    <w:rsid w:val="004F5E0D"/>
    <w:rsid w:val="004F5F4A"/>
    <w:rsid w:val="004F6BD9"/>
    <w:rsid w:val="00503596"/>
    <w:rsid w:val="00503920"/>
    <w:rsid w:val="00510C19"/>
    <w:rsid w:val="0052675B"/>
    <w:rsid w:val="00530E9E"/>
    <w:rsid w:val="0053451D"/>
    <w:rsid w:val="005353F8"/>
    <w:rsid w:val="0053598B"/>
    <w:rsid w:val="005375FF"/>
    <w:rsid w:val="0054185A"/>
    <w:rsid w:val="00544B54"/>
    <w:rsid w:val="00546438"/>
    <w:rsid w:val="00551BC5"/>
    <w:rsid w:val="005539E5"/>
    <w:rsid w:val="0056759E"/>
    <w:rsid w:val="005707A3"/>
    <w:rsid w:val="00572A02"/>
    <w:rsid w:val="0057510A"/>
    <w:rsid w:val="005810CC"/>
    <w:rsid w:val="00583F2B"/>
    <w:rsid w:val="00587973"/>
    <w:rsid w:val="0059350E"/>
    <w:rsid w:val="00596AB8"/>
    <w:rsid w:val="005A4621"/>
    <w:rsid w:val="005A690D"/>
    <w:rsid w:val="005A6926"/>
    <w:rsid w:val="005B0413"/>
    <w:rsid w:val="005B35C5"/>
    <w:rsid w:val="005B7808"/>
    <w:rsid w:val="005C0316"/>
    <w:rsid w:val="005C1697"/>
    <w:rsid w:val="005C3474"/>
    <w:rsid w:val="005C4C9E"/>
    <w:rsid w:val="005C5B83"/>
    <w:rsid w:val="005C65FD"/>
    <w:rsid w:val="005C6EAB"/>
    <w:rsid w:val="005D0CFB"/>
    <w:rsid w:val="005D1A37"/>
    <w:rsid w:val="005D3975"/>
    <w:rsid w:val="005D671B"/>
    <w:rsid w:val="005D7F34"/>
    <w:rsid w:val="005E0BB5"/>
    <w:rsid w:val="005E24ED"/>
    <w:rsid w:val="005E290B"/>
    <w:rsid w:val="005E45FA"/>
    <w:rsid w:val="005F3649"/>
    <w:rsid w:val="005F5C88"/>
    <w:rsid w:val="005F7990"/>
    <w:rsid w:val="00601983"/>
    <w:rsid w:val="00601AC7"/>
    <w:rsid w:val="00602B69"/>
    <w:rsid w:val="006033EA"/>
    <w:rsid w:val="00604EFC"/>
    <w:rsid w:val="0060501F"/>
    <w:rsid w:val="00605104"/>
    <w:rsid w:val="00605FB3"/>
    <w:rsid w:val="00610671"/>
    <w:rsid w:val="006200E2"/>
    <w:rsid w:val="006231B9"/>
    <w:rsid w:val="0062554A"/>
    <w:rsid w:val="006275D0"/>
    <w:rsid w:val="0063172C"/>
    <w:rsid w:val="00633DB7"/>
    <w:rsid w:val="006340B9"/>
    <w:rsid w:val="00642B7D"/>
    <w:rsid w:val="00644E71"/>
    <w:rsid w:val="0065420E"/>
    <w:rsid w:val="0065533B"/>
    <w:rsid w:val="00663238"/>
    <w:rsid w:val="006636F9"/>
    <w:rsid w:val="00664751"/>
    <w:rsid w:val="00665616"/>
    <w:rsid w:val="00667459"/>
    <w:rsid w:val="0066760D"/>
    <w:rsid w:val="00667954"/>
    <w:rsid w:val="0067232C"/>
    <w:rsid w:val="006755F8"/>
    <w:rsid w:val="00675996"/>
    <w:rsid w:val="00676D65"/>
    <w:rsid w:val="00677298"/>
    <w:rsid w:val="0068263E"/>
    <w:rsid w:val="00684C46"/>
    <w:rsid w:val="00690F6D"/>
    <w:rsid w:val="00692995"/>
    <w:rsid w:val="006975A2"/>
    <w:rsid w:val="006A0929"/>
    <w:rsid w:val="006A1079"/>
    <w:rsid w:val="006A1B77"/>
    <w:rsid w:val="006A55F4"/>
    <w:rsid w:val="006A5AE7"/>
    <w:rsid w:val="006B2602"/>
    <w:rsid w:val="006B5071"/>
    <w:rsid w:val="006B7368"/>
    <w:rsid w:val="006D10B3"/>
    <w:rsid w:val="006D1EAD"/>
    <w:rsid w:val="006D361E"/>
    <w:rsid w:val="006D6E46"/>
    <w:rsid w:val="006F4DCE"/>
    <w:rsid w:val="007011BD"/>
    <w:rsid w:val="00701958"/>
    <w:rsid w:val="00701F80"/>
    <w:rsid w:val="00702525"/>
    <w:rsid w:val="00703A49"/>
    <w:rsid w:val="00711E6A"/>
    <w:rsid w:val="00713C75"/>
    <w:rsid w:val="00721235"/>
    <w:rsid w:val="0072509E"/>
    <w:rsid w:val="007265A5"/>
    <w:rsid w:val="00730641"/>
    <w:rsid w:val="00731853"/>
    <w:rsid w:val="007323C8"/>
    <w:rsid w:val="007329A5"/>
    <w:rsid w:val="007337DF"/>
    <w:rsid w:val="0073436E"/>
    <w:rsid w:val="00735850"/>
    <w:rsid w:val="00735B17"/>
    <w:rsid w:val="00735D1F"/>
    <w:rsid w:val="00735D42"/>
    <w:rsid w:val="00736028"/>
    <w:rsid w:val="00737CA3"/>
    <w:rsid w:val="00741AAD"/>
    <w:rsid w:val="00742F03"/>
    <w:rsid w:val="007454E9"/>
    <w:rsid w:val="00752106"/>
    <w:rsid w:val="00755273"/>
    <w:rsid w:val="007553AD"/>
    <w:rsid w:val="007564D8"/>
    <w:rsid w:val="00757E76"/>
    <w:rsid w:val="0076141B"/>
    <w:rsid w:val="007636D3"/>
    <w:rsid w:val="00764855"/>
    <w:rsid w:val="00766F39"/>
    <w:rsid w:val="007718C7"/>
    <w:rsid w:val="00771DFC"/>
    <w:rsid w:val="007721B8"/>
    <w:rsid w:val="00775531"/>
    <w:rsid w:val="00776139"/>
    <w:rsid w:val="00777C74"/>
    <w:rsid w:val="00781A0D"/>
    <w:rsid w:val="00785016"/>
    <w:rsid w:val="0079662F"/>
    <w:rsid w:val="00796D2D"/>
    <w:rsid w:val="007A32B1"/>
    <w:rsid w:val="007A45C9"/>
    <w:rsid w:val="007B076B"/>
    <w:rsid w:val="007B3DB7"/>
    <w:rsid w:val="007B6282"/>
    <w:rsid w:val="007B6BE0"/>
    <w:rsid w:val="007D1B26"/>
    <w:rsid w:val="007D4376"/>
    <w:rsid w:val="007D762D"/>
    <w:rsid w:val="007D77BC"/>
    <w:rsid w:val="007E327D"/>
    <w:rsid w:val="007F09CE"/>
    <w:rsid w:val="007F247D"/>
    <w:rsid w:val="007F335F"/>
    <w:rsid w:val="007F4D49"/>
    <w:rsid w:val="007F7A90"/>
    <w:rsid w:val="007F7AB0"/>
    <w:rsid w:val="00801B93"/>
    <w:rsid w:val="00803708"/>
    <w:rsid w:val="00803798"/>
    <w:rsid w:val="008067D7"/>
    <w:rsid w:val="008069B4"/>
    <w:rsid w:val="00810301"/>
    <w:rsid w:val="00812FFE"/>
    <w:rsid w:val="008164B9"/>
    <w:rsid w:val="008203A3"/>
    <w:rsid w:val="008206D9"/>
    <w:rsid w:val="00822731"/>
    <w:rsid w:val="0082616D"/>
    <w:rsid w:val="008309B0"/>
    <w:rsid w:val="0083116C"/>
    <w:rsid w:val="00835141"/>
    <w:rsid w:val="00843AF6"/>
    <w:rsid w:val="00844377"/>
    <w:rsid w:val="008471BF"/>
    <w:rsid w:val="00847355"/>
    <w:rsid w:val="008474E3"/>
    <w:rsid w:val="008500DD"/>
    <w:rsid w:val="00850ED3"/>
    <w:rsid w:val="00853EDA"/>
    <w:rsid w:val="00854218"/>
    <w:rsid w:val="00857FD8"/>
    <w:rsid w:val="00860FE5"/>
    <w:rsid w:val="00863459"/>
    <w:rsid w:val="00863D7F"/>
    <w:rsid w:val="008649B8"/>
    <w:rsid w:val="00867C3D"/>
    <w:rsid w:val="0087099D"/>
    <w:rsid w:val="008730A8"/>
    <w:rsid w:val="00873415"/>
    <w:rsid w:val="00874A67"/>
    <w:rsid w:val="00875EDA"/>
    <w:rsid w:val="00881065"/>
    <w:rsid w:val="008812DA"/>
    <w:rsid w:val="0088235B"/>
    <w:rsid w:val="0088315A"/>
    <w:rsid w:val="008A1468"/>
    <w:rsid w:val="008A16EC"/>
    <w:rsid w:val="008A3EE8"/>
    <w:rsid w:val="008A5023"/>
    <w:rsid w:val="008B1DF8"/>
    <w:rsid w:val="008B214C"/>
    <w:rsid w:val="008B3782"/>
    <w:rsid w:val="008B5618"/>
    <w:rsid w:val="008B60BC"/>
    <w:rsid w:val="008B6662"/>
    <w:rsid w:val="008C05BD"/>
    <w:rsid w:val="008C4F20"/>
    <w:rsid w:val="008C62C8"/>
    <w:rsid w:val="008C66F1"/>
    <w:rsid w:val="008D2A82"/>
    <w:rsid w:val="008E3190"/>
    <w:rsid w:val="008E5043"/>
    <w:rsid w:val="008E60B4"/>
    <w:rsid w:val="008F3AE8"/>
    <w:rsid w:val="00902788"/>
    <w:rsid w:val="0090384C"/>
    <w:rsid w:val="00904A2B"/>
    <w:rsid w:val="009060F5"/>
    <w:rsid w:val="009077EE"/>
    <w:rsid w:val="00913C0A"/>
    <w:rsid w:val="009147D8"/>
    <w:rsid w:val="00915E3F"/>
    <w:rsid w:val="00916F5D"/>
    <w:rsid w:val="0092531D"/>
    <w:rsid w:val="009304B6"/>
    <w:rsid w:val="00935830"/>
    <w:rsid w:val="00935A2E"/>
    <w:rsid w:val="00942ED2"/>
    <w:rsid w:val="00944F74"/>
    <w:rsid w:val="00947D4A"/>
    <w:rsid w:val="00947E61"/>
    <w:rsid w:val="00952157"/>
    <w:rsid w:val="00954073"/>
    <w:rsid w:val="0095688C"/>
    <w:rsid w:val="00956A06"/>
    <w:rsid w:val="009606DC"/>
    <w:rsid w:val="009626DE"/>
    <w:rsid w:val="00963AD1"/>
    <w:rsid w:val="00965127"/>
    <w:rsid w:val="009662FD"/>
    <w:rsid w:val="0096712B"/>
    <w:rsid w:val="0097010C"/>
    <w:rsid w:val="00970152"/>
    <w:rsid w:val="00970A98"/>
    <w:rsid w:val="009723BE"/>
    <w:rsid w:val="00973AB6"/>
    <w:rsid w:val="00973C9F"/>
    <w:rsid w:val="00982C79"/>
    <w:rsid w:val="009843B3"/>
    <w:rsid w:val="00984B8C"/>
    <w:rsid w:val="0098645C"/>
    <w:rsid w:val="00986F7D"/>
    <w:rsid w:val="00990A98"/>
    <w:rsid w:val="00991FCE"/>
    <w:rsid w:val="0099495A"/>
    <w:rsid w:val="00995312"/>
    <w:rsid w:val="00997513"/>
    <w:rsid w:val="009A0065"/>
    <w:rsid w:val="009A27B9"/>
    <w:rsid w:val="009A2FFD"/>
    <w:rsid w:val="009A7364"/>
    <w:rsid w:val="009B15A3"/>
    <w:rsid w:val="009C40ED"/>
    <w:rsid w:val="009C69A3"/>
    <w:rsid w:val="009D06AA"/>
    <w:rsid w:val="009D23A7"/>
    <w:rsid w:val="009D34E0"/>
    <w:rsid w:val="009D77DD"/>
    <w:rsid w:val="009E238C"/>
    <w:rsid w:val="009E23D4"/>
    <w:rsid w:val="009E5936"/>
    <w:rsid w:val="009E6408"/>
    <w:rsid w:val="009F306A"/>
    <w:rsid w:val="009F42B0"/>
    <w:rsid w:val="009F48BC"/>
    <w:rsid w:val="009F49F6"/>
    <w:rsid w:val="009F7EF3"/>
    <w:rsid w:val="009F7FDD"/>
    <w:rsid w:val="00A00615"/>
    <w:rsid w:val="00A15D5E"/>
    <w:rsid w:val="00A17790"/>
    <w:rsid w:val="00A20377"/>
    <w:rsid w:val="00A20E60"/>
    <w:rsid w:val="00A313F8"/>
    <w:rsid w:val="00A31766"/>
    <w:rsid w:val="00A34BE8"/>
    <w:rsid w:val="00A34C98"/>
    <w:rsid w:val="00A371E7"/>
    <w:rsid w:val="00A373B1"/>
    <w:rsid w:val="00A37D03"/>
    <w:rsid w:val="00A40278"/>
    <w:rsid w:val="00A41A03"/>
    <w:rsid w:val="00A4367F"/>
    <w:rsid w:val="00A44B8A"/>
    <w:rsid w:val="00A4788D"/>
    <w:rsid w:val="00A527B5"/>
    <w:rsid w:val="00A52E74"/>
    <w:rsid w:val="00A574D1"/>
    <w:rsid w:val="00A60DBB"/>
    <w:rsid w:val="00A60E5A"/>
    <w:rsid w:val="00A614CC"/>
    <w:rsid w:val="00A62325"/>
    <w:rsid w:val="00A70A98"/>
    <w:rsid w:val="00A7159F"/>
    <w:rsid w:val="00A74002"/>
    <w:rsid w:val="00A81C3E"/>
    <w:rsid w:val="00A85FA0"/>
    <w:rsid w:val="00A91676"/>
    <w:rsid w:val="00A959AA"/>
    <w:rsid w:val="00A96D7C"/>
    <w:rsid w:val="00AA3E40"/>
    <w:rsid w:val="00AA6974"/>
    <w:rsid w:val="00AA7575"/>
    <w:rsid w:val="00AB077E"/>
    <w:rsid w:val="00AB3526"/>
    <w:rsid w:val="00AB51A7"/>
    <w:rsid w:val="00AC2F23"/>
    <w:rsid w:val="00AC4144"/>
    <w:rsid w:val="00AD0621"/>
    <w:rsid w:val="00AD2D27"/>
    <w:rsid w:val="00AD34DA"/>
    <w:rsid w:val="00AD3531"/>
    <w:rsid w:val="00AD75B7"/>
    <w:rsid w:val="00AE3012"/>
    <w:rsid w:val="00AE448A"/>
    <w:rsid w:val="00AF0FE0"/>
    <w:rsid w:val="00AF327C"/>
    <w:rsid w:val="00AF3D55"/>
    <w:rsid w:val="00AF3F74"/>
    <w:rsid w:val="00AF4E95"/>
    <w:rsid w:val="00AF6516"/>
    <w:rsid w:val="00B054E9"/>
    <w:rsid w:val="00B05A47"/>
    <w:rsid w:val="00B062C3"/>
    <w:rsid w:val="00B07ABB"/>
    <w:rsid w:val="00B13A60"/>
    <w:rsid w:val="00B17E62"/>
    <w:rsid w:val="00B201CF"/>
    <w:rsid w:val="00B21884"/>
    <w:rsid w:val="00B2407E"/>
    <w:rsid w:val="00B24323"/>
    <w:rsid w:val="00B26FF0"/>
    <w:rsid w:val="00B33152"/>
    <w:rsid w:val="00B36963"/>
    <w:rsid w:val="00B4032E"/>
    <w:rsid w:val="00B47512"/>
    <w:rsid w:val="00B500D7"/>
    <w:rsid w:val="00B51115"/>
    <w:rsid w:val="00B61280"/>
    <w:rsid w:val="00B633AB"/>
    <w:rsid w:val="00B63566"/>
    <w:rsid w:val="00B63C48"/>
    <w:rsid w:val="00B63EDE"/>
    <w:rsid w:val="00B66B32"/>
    <w:rsid w:val="00B70F51"/>
    <w:rsid w:val="00B7739B"/>
    <w:rsid w:val="00B803C8"/>
    <w:rsid w:val="00B87724"/>
    <w:rsid w:val="00B942AF"/>
    <w:rsid w:val="00B94A8B"/>
    <w:rsid w:val="00B9675A"/>
    <w:rsid w:val="00BA156E"/>
    <w:rsid w:val="00BA22B6"/>
    <w:rsid w:val="00BA30E7"/>
    <w:rsid w:val="00BB1A7F"/>
    <w:rsid w:val="00BB74FB"/>
    <w:rsid w:val="00BC0F77"/>
    <w:rsid w:val="00BC1DFB"/>
    <w:rsid w:val="00BC5037"/>
    <w:rsid w:val="00BC543F"/>
    <w:rsid w:val="00BC7870"/>
    <w:rsid w:val="00BD62DF"/>
    <w:rsid w:val="00BE0393"/>
    <w:rsid w:val="00BE2A9A"/>
    <w:rsid w:val="00BE3226"/>
    <w:rsid w:val="00BE38A9"/>
    <w:rsid w:val="00BE4042"/>
    <w:rsid w:val="00BE43E9"/>
    <w:rsid w:val="00BE46AD"/>
    <w:rsid w:val="00BE75DA"/>
    <w:rsid w:val="00BF270C"/>
    <w:rsid w:val="00BF363D"/>
    <w:rsid w:val="00BF3E97"/>
    <w:rsid w:val="00BF4152"/>
    <w:rsid w:val="00BF6570"/>
    <w:rsid w:val="00C0052B"/>
    <w:rsid w:val="00C035D1"/>
    <w:rsid w:val="00C1238F"/>
    <w:rsid w:val="00C1289D"/>
    <w:rsid w:val="00C13E6E"/>
    <w:rsid w:val="00C1515D"/>
    <w:rsid w:val="00C15D89"/>
    <w:rsid w:val="00C17DF3"/>
    <w:rsid w:val="00C2282B"/>
    <w:rsid w:val="00C241E9"/>
    <w:rsid w:val="00C2422D"/>
    <w:rsid w:val="00C25B64"/>
    <w:rsid w:val="00C26C11"/>
    <w:rsid w:val="00C26F99"/>
    <w:rsid w:val="00C31E0D"/>
    <w:rsid w:val="00C322DB"/>
    <w:rsid w:val="00C37609"/>
    <w:rsid w:val="00C4018C"/>
    <w:rsid w:val="00C47B14"/>
    <w:rsid w:val="00C54E35"/>
    <w:rsid w:val="00C7008A"/>
    <w:rsid w:val="00C7418B"/>
    <w:rsid w:val="00C744E2"/>
    <w:rsid w:val="00C754DD"/>
    <w:rsid w:val="00C755C9"/>
    <w:rsid w:val="00C7640D"/>
    <w:rsid w:val="00C84ADA"/>
    <w:rsid w:val="00C87BE9"/>
    <w:rsid w:val="00C900E6"/>
    <w:rsid w:val="00C92176"/>
    <w:rsid w:val="00C93573"/>
    <w:rsid w:val="00C96511"/>
    <w:rsid w:val="00C972A3"/>
    <w:rsid w:val="00C9762E"/>
    <w:rsid w:val="00CA2C00"/>
    <w:rsid w:val="00CA2DE2"/>
    <w:rsid w:val="00CA68E2"/>
    <w:rsid w:val="00CA786F"/>
    <w:rsid w:val="00CB0C50"/>
    <w:rsid w:val="00CC1CEE"/>
    <w:rsid w:val="00CC582B"/>
    <w:rsid w:val="00CC5FD3"/>
    <w:rsid w:val="00CD4D44"/>
    <w:rsid w:val="00CD7370"/>
    <w:rsid w:val="00CE4EE2"/>
    <w:rsid w:val="00CF034C"/>
    <w:rsid w:val="00CF1CD1"/>
    <w:rsid w:val="00CF2838"/>
    <w:rsid w:val="00CF38B4"/>
    <w:rsid w:val="00CF4ACB"/>
    <w:rsid w:val="00D04FFE"/>
    <w:rsid w:val="00D061B8"/>
    <w:rsid w:val="00D067ED"/>
    <w:rsid w:val="00D1062C"/>
    <w:rsid w:val="00D20DCF"/>
    <w:rsid w:val="00D2563A"/>
    <w:rsid w:val="00D269FD"/>
    <w:rsid w:val="00D26EC4"/>
    <w:rsid w:val="00D30B4A"/>
    <w:rsid w:val="00D315DA"/>
    <w:rsid w:val="00D32CE0"/>
    <w:rsid w:val="00D359D0"/>
    <w:rsid w:val="00D36C47"/>
    <w:rsid w:val="00D36EC6"/>
    <w:rsid w:val="00D412F7"/>
    <w:rsid w:val="00D4552A"/>
    <w:rsid w:val="00D45A15"/>
    <w:rsid w:val="00D55724"/>
    <w:rsid w:val="00D56026"/>
    <w:rsid w:val="00D62CCE"/>
    <w:rsid w:val="00D64369"/>
    <w:rsid w:val="00D6657F"/>
    <w:rsid w:val="00D712B1"/>
    <w:rsid w:val="00D71A7A"/>
    <w:rsid w:val="00D72DE8"/>
    <w:rsid w:val="00D731A5"/>
    <w:rsid w:val="00D75609"/>
    <w:rsid w:val="00D7725A"/>
    <w:rsid w:val="00D8086D"/>
    <w:rsid w:val="00D8557A"/>
    <w:rsid w:val="00D93E5B"/>
    <w:rsid w:val="00D9734F"/>
    <w:rsid w:val="00D97922"/>
    <w:rsid w:val="00DA003A"/>
    <w:rsid w:val="00DA4AE9"/>
    <w:rsid w:val="00DB4DC9"/>
    <w:rsid w:val="00DB72B7"/>
    <w:rsid w:val="00DC010C"/>
    <w:rsid w:val="00DC23BE"/>
    <w:rsid w:val="00DC2B96"/>
    <w:rsid w:val="00DC312B"/>
    <w:rsid w:val="00DC4B58"/>
    <w:rsid w:val="00DC5F8B"/>
    <w:rsid w:val="00DC7568"/>
    <w:rsid w:val="00DD2C2A"/>
    <w:rsid w:val="00DD5106"/>
    <w:rsid w:val="00DD76BB"/>
    <w:rsid w:val="00DE26F3"/>
    <w:rsid w:val="00DE43F9"/>
    <w:rsid w:val="00DE69DA"/>
    <w:rsid w:val="00DE77ED"/>
    <w:rsid w:val="00E00634"/>
    <w:rsid w:val="00E01277"/>
    <w:rsid w:val="00E01FC5"/>
    <w:rsid w:val="00E04EEA"/>
    <w:rsid w:val="00E11CD5"/>
    <w:rsid w:val="00E14EF5"/>
    <w:rsid w:val="00E204A2"/>
    <w:rsid w:val="00E210DA"/>
    <w:rsid w:val="00E24853"/>
    <w:rsid w:val="00E34E8A"/>
    <w:rsid w:val="00E36DCD"/>
    <w:rsid w:val="00E409FF"/>
    <w:rsid w:val="00E40FC2"/>
    <w:rsid w:val="00E44E98"/>
    <w:rsid w:val="00E513A1"/>
    <w:rsid w:val="00E520BC"/>
    <w:rsid w:val="00E53088"/>
    <w:rsid w:val="00E54B40"/>
    <w:rsid w:val="00E64BEE"/>
    <w:rsid w:val="00E66E6C"/>
    <w:rsid w:val="00E70662"/>
    <w:rsid w:val="00E73727"/>
    <w:rsid w:val="00E73E5C"/>
    <w:rsid w:val="00E8002C"/>
    <w:rsid w:val="00E840C9"/>
    <w:rsid w:val="00E841E5"/>
    <w:rsid w:val="00E877B5"/>
    <w:rsid w:val="00EA3EF6"/>
    <w:rsid w:val="00EB1F5B"/>
    <w:rsid w:val="00EB2899"/>
    <w:rsid w:val="00EB6BFF"/>
    <w:rsid w:val="00EB6C9B"/>
    <w:rsid w:val="00EB7A85"/>
    <w:rsid w:val="00EC4839"/>
    <w:rsid w:val="00ED31CE"/>
    <w:rsid w:val="00ED6C46"/>
    <w:rsid w:val="00EE0DC6"/>
    <w:rsid w:val="00EE3DF0"/>
    <w:rsid w:val="00EE77B9"/>
    <w:rsid w:val="00EF1476"/>
    <w:rsid w:val="00EF1814"/>
    <w:rsid w:val="00EF2167"/>
    <w:rsid w:val="00EF3A8A"/>
    <w:rsid w:val="00EF748F"/>
    <w:rsid w:val="00EF7E4F"/>
    <w:rsid w:val="00F05F71"/>
    <w:rsid w:val="00F105A3"/>
    <w:rsid w:val="00F12654"/>
    <w:rsid w:val="00F174AC"/>
    <w:rsid w:val="00F22C9C"/>
    <w:rsid w:val="00F24571"/>
    <w:rsid w:val="00F264E5"/>
    <w:rsid w:val="00F37DF8"/>
    <w:rsid w:val="00F4409B"/>
    <w:rsid w:val="00F4570A"/>
    <w:rsid w:val="00F47460"/>
    <w:rsid w:val="00F47761"/>
    <w:rsid w:val="00F477C8"/>
    <w:rsid w:val="00F55F54"/>
    <w:rsid w:val="00F63092"/>
    <w:rsid w:val="00F65086"/>
    <w:rsid w:val="00F674F2"/>
    <w:rsid w:val="00F67880"/>
    <w:rsid w:val="00F73AC6"/>
    <w:rsid w:val="00F74947"/>
    <w:rsid w:val="00F75CB9"/>
    <w:rsid w:val="00F817FB"/>
    <w:rsid w:val="00F81EE6"/>
    <w:rsid w:val="00F83A05"/>
    <w:rsid w:val="00F8412E"/>
    <w:rsid w:val="00F84508"/>
    <w:rsid w:val="00F86FE8"/>
    <w:rsid w:val="00F904D1"/>
    <w:rsid w:val="00F915AA"/>
    <w:rsid w:val="00F91E17"/>
    <w:rsid w:val="00FA3318"/>
    <w:rsid w:val="00FB061A"/>
    <w:rsid w:val="00FB0DE6"/>
    <w:rsid w:val="00FB47EE"/>
    <w:rsid w:val="00FB7718"/>
    <w:rsid w:val="00FB7F41"/>
    <w:rsid w:val="00FC02F4"/>
    <w:rsid w:val="00FC538A"/>
    <w:rsid w:val="00FC78F7"/>
    <w:rsid w:val="00FD01F7"/>
    <w:rsid w:val="00FD0936"/>
    <w:rsid w:val="00FE03AF"/>
    <w:rsid w:val="00FE06F8"/>
    <w:rsid w:val="00FE2531"/>
    <w:rsid w:val="00FF0A39"/>
    <w:rsid w:val="13854859"/>
    <w:rsid w:val="29D756F8"/>
    <w:rsid w:val="35EF26D7"/>
    <w:rsid w:val="37FF88E9"/>
    <w:rsid w:val="39BB3382"/>
    <w:rsid w:val="3C5C3909"/>
    <w:rsid w:val="49FAE40D"/>
    <w:rsid w:val="59B62EDE"/>
    <w:rsid w:val="5A6F6A1A"/>
    <w:rsid w:val="5BFF9BB2"/>
    <w:rsid w:val="5FEE486A"/>
    <w:rsid w:val="60D6B749"/>
    <w:rsid w:val="6CC00050"/>
    <w:rsid w:val="6DBF6E43"/>
    <w:rsid w:val="73AB009C"/>
    <w:rsid w:val="74B64944"/>
    <w:rsid w:val="76FFD322"/>
    <w:rsid w:val="77EB1763"/>
    <w:rsid w:val="7BFF3AF5"/>
    <w:rsid w:val="7DFF8104"/>
    <w:rsid w:val="7F7FBF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Body Text" w:semiHidden="0" w:uiPriority="1" w:unhideWhenUsed="0" w:qFormat="1"/>
    <w:lsdException w:name="Subtitle" w:semiHidden="0" w:uiPriority="11" w:unhideWhenUsed="0" w:qFormat="1"/>
    <w:lsdException w:name="Date" w:semiHidden="0" w:qFormat="1"/>
    <w:lsdException w:name="Strong" w:semiHidden="0" w:uiPriority="22" w:unhideWhenUsed="0" w:qFormat="1"/>
    <w:lsdException w:name="Emphasis" w:semiHidden="0" w:uiPriority="20" w:unhideWhenUsed="0" w:qFormat="1"/>
    <w:lsdException w:name="Normal (Web)" w:semiHidden="0" w:uiPriority="0" w:qFormat="1"/>
    <w:lsdException w:name="Normal Table" w:semiHidden="0"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sz w:val="22"/>
      <w:szCs w:val="22"/>
      <w:lang w:eastAsia="en-US"/>
    </w:rPr>
  </w:style>
  <w:style w:type="paragraph" w:styleId="1">
    <w:name w:val="heading 1"/>
    <w:basedOn w:val="a"/>
    <w:next w:val="a"/>
    <w:uiPriority w:val="9"/>
    <w:qFormat/>
    <w:pPr>
      <w:ind w:left="106"/>
      <w:outlineLvl w:val="0"/>
    </w:pPr>
    <w:rPr>
      <w:rFonts w:ascii="Microsoft JhengHei" w:eastAsia="Microsoft JhengHei" w:hAnsi="Microsoft JhengHei"/>
      <w:sz w:val="44"/>
      <w:szCs w:val="44"/>
    </w:rPr>
  </w:style>
  <w:style w:type="paragraph" w:styleId="4">
    <w:name w:val="heading 4"/>
    <w:basedOn w:val="a"/>
    <w:next w:val="a"/>
    <w:link w:val="4Char"/>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ind w:left="106"/>
    </w:pPr>
    <w:rPr>
      <w:rFonts w:ascii="仿宋" w:eastAsia="仿宋" w:hAnsi="仿宋"/>
      <w:sz w:val="32"/>
      <w:szCs w:val="32"/>
    </w:rPr>
  </w:style>
  <w:style w:type="paragraph" w:styleId="a4">
    <w:name w:val="Date"/>
    <w:basedOn w:val="a"/>
    <w:next w:val="a"/>
    <w:link w:val="Char"/>
    <w:uiPriority w:val="99"/>
    <w:unhideWhenUsed/>
    <w:qFormat/>
    <w:pPr>
      <w:ind w:leftChars="2500" w:left="100"/>
    </w:pPr>
  </w:style>
  <w:style w:type="paragraph" w:styleId="a5">
    <w:name w:val="Balloon Text"/>
    <w:basedOn w:val="a"/>
    <w:uiPriority w:val="99"/>
    <w:unhideWhenUsed/>
    <w:qFormat/>
    <w:rPr>
      <w:rFonts w:ascii="Times New Roman" w:eastAsia="宋体" w:hAnsi="Times New Roman" w:cs="Times New Roman"/>
      <w:sz w:val="18"/>
      <w:szCs w:val="18"/>
    </w:rPr>
  </w:style>
  <w:style w:type="paragraph" w:styleId="a6">
    <w:name w:val="footer"/>
    <w:basedOn w:val="a"/>
    <w:link w:val="Char0"/>
    <w:uiPriority w:val="99"/>
    <w:unhideWhenUsed/>
    <w:qFormat/>
    <w:pPr>
      <w:tabs>
        <w:tab w:val="center" w:pos="4153"/>
        <w:tab w:val="right" w:pos="8306"/>
      </w:tabs>
      <w:snapToGrid w:val="0"/>
    </w:pPr>
    <w:rPr>
      <w:sz w:val="18"/>
      <w:szCs w:val="18"/>
    </w:rPr>
  </w:style>
  <w:style w:type="paragraph" w:styleId="a7">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nhideWhenUsed/>
    <w:qFormat/>
    <w:pPr>
      <w:widowControl/>
      <w:spacing w:before="100" w:beforeAutospacing="1" w:after="100" w:afterAutospacing="1"/>
    </w:pPr>
    <w:rPr>
      <w:rFonts w:ascii="宋体" w:eastAsia="宋体" w:hAnsi="宋体" w:cs="宋体"/>
      <w:sz w:val="24"/>
      <w:szCs w:val="24"/>
      <w:lang w:eastAsia="zh-CN"/>
    </w:rPr>
  </w:style>
  <w:style w:type="table" w:customStyle="1" w:styleId="TableNormal">
    <w:name w:val="Table Normal"/>
    <w:uiPriority w:val="2"/>
    <w:unhideWhenUsed/>
    <w:qFormat/>
    <w:tblPr>
      <w:tblCellMar>
        <w:top w:w="0" w:type="dxa"/>
        <w:left w:w="0" w:type="dxa"/>
        <w:bottom w:w="0" w:type="dxa"/>
        <w:right w:w="0" w:type="dxa"/>
      </w:tblCellMar>
    </w:tblPr>
  </w:style>
  <w:style w:type="paragraph" w:customStyle="1" w:styleId="10">
    <w:name w:val="列出段落1"/>
    <w:basedOn w:val="a"/>
    <w:uiPriority w:val="34"/>
    <w:qFormat/>
  </w:style>
  <w:style w:type="paragraph" w:customStyle="1" w:styleId="TableParagraph">
    <w:name w:val="Table Paragraph"/>
    <w:basedOn w:val="a"/>
    <w:uiPriority w:val="1"/>
    <w:qFormat/>
  </w:style>
  <w:style w:type="character" w:customStyle="1" w:styleId="4Char">
    <w:name w:val="标题 4 Char"/>
    <w:basedOn w:val="a0"/>
    <w:link w:val="4"/>
    <w:uiPriority w:val="9"/>
    <w:semiHidden/>
    <w:qFormat/>
    <w:rPr>
      <w:rFonts w:asciiTheme="majorHAnsi" w:eastAsiaTheme="majorEastAsia" w:hAnsiTheme="majorHAnsi" w:cstheme="majorBidi"/>
      <w:b/>
      <w:bCs/>
      <w:sz w:val="28"/>
      <w:szCs w:val="28"/>
    </w:rPr>
  </w:style>
  <w:style w:type="character" w:customStyle="1" w:styleId="Char1">
    <w:name w:val="页眉 Char"/>
    <w:basedOn w:val="a0"/>
    <w:link w:val="a7"/>
    <w:uiPriority w:val="99"/>
    <w:qFormat/>
    <w:rPr>
      <w:sz w:val="18"/>
      <w:szCs w:val="18"/>
    </w:rPr>
  </w:style>
  <w:style w:type="character" w:customStyle="1" w:styleId="Char0">
    <w:name w:val="页脚 Char"/>
    <w:basedOn w:val="a0"/>
    <w:link w:val="a6"/>
    <w:uiPriority w:val="99"/>
    <w:qFormat/>
    <w:rPr>
      <w:sz w:val="18"/>
      <w:szCs w:val="18"/>
    </w:r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lang w:eastAsia="en-US"/>
    </w:rPr>
  </w:style>
  <w:style w:type="character" w:customStyle="1" w:styleId="Char">
    <w:name w:val="日期 Char"/>
    <w:basedOn w:val="a0"/>
    <w:link w:val="a4"/>
    <w:uiPriority w:val="99"/>
    <w:semiHidden/>
    <w:qFormat/>
  </w:style>
  <w:style w:type="paragraph" w:customStyle="1" w:styleId="a9">
    <w:name w:val="文字"/>
    <w:basedOn w:val="a"/>
    <w:link w:val="Char2"/>
    <w:qFormat/>
    <w:pPr>
      <w:spacing w:line="560" w:lineRule="exact"/>
      <w:ind w:firstLineChars="200" w:firstLine="200"/>
      <w:jc w:val="both"/>
    </w:pPr>
    <w:rPr>
      <w:rFonts w:ascii="Times New Roman" w:eastAsia="仿宋_GB2312" w:hAnsi="Times New Roman" w:cs="Times New Roman"/>
      <w:kern w:val="2"/>
      <w:sz w:val="30"/>
      <w:szCs w:val="30"/>
      <w:lang w:eastAsia="zh-CN"/>
    </w:rPr>
  </w:style>
  <w:style w:type="character" w:customStyle="1" w:styleId="Char2">
    <w:name w:val="文字 Char"/>
    <w:basedOn w:val="a0"/>
    <w:link w:val="a9"/>
    <w:qFormat/>
    <w:rPr>
      <w:rFonts w:ascii="Times New Roman" w:eastAsia="仿宋_GB2312" w:hAnsi="Times New Roman" w:cs="Times New Roman"/>
      <w:kern w:val="2"/>
      <w:sz w:val="30"/>
      <w:szCs w:val="30"/>
    </w:rPr>
  </w:style>
  <w:style w:type="paragraph" w:customStyle="1" w:styleId="2">
    <w:name w:val="列出段落2"/>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Body Text" w:semiHidden="0" w:uiPriority="1" w:unhideWhenUsed="0" w:qFormat="1"/>
    <w:lsdException w:name="Subtitle" w:semiHidden="0" w:uiPriority="11" w:unhideWhenUsed="0" w:qFormat="1"/>
    <w:lsdException w:name="Date" w:semiHidden="0" w:qFormat="1"/>
    <w:lsdException w:name="Strong" w:semiHidden="0" w:uiPriority="22" w:unhideWhenUsed="0" w:qFormat="1"/>
    <w:lsdException w:name="Emphasis" w:semiHidden="0" w:uiPriority="20" w:unhideWhenUsed="0" w:qFormat="1"/>
    <w:lsdException w:name="Normal (Web)" w:semiHidden="0" w:uiPriority="0" w:qFormat="1"/>
    <w:lsdException w:name="Normal Table" w:semiHidden="0"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sz w:val="22"/>
      <w:szCs w:val="22"/>
      <w:lang w:eastAsia="en-US"/>
    </w:rPr>
  </w:style>
  <w:style w:type="paragraph" w:styleId="1">
    <w:name w:val="heading 1"/>
    <w:basedOn w:val="a"/>
    <w:next w:val="a"/>
    <w:uiPriority w:val="9"/>
    <w:qFormat/>
    <w:pPr>
      <w:ind w:left="106"/>
      <w:outlineLvl w:val="0"/>
    </w:pPr>
    <w:rPr>
      <w:rFonts w:ascii="Microsoft JhengHei" w:eastAsia="Microsoft JhengHei" w:hAnsi="Microsoft JhengHei"/>
      <w:sz w:val="44"/>
      <w:szCs w:val="44"/>
    </w:rPr>
  </w:style>
  <w:style w:type="paragraph" w:styleId="4">
    <w:name w:val="heading 4"/>
    <w:basedOn w:val="a"/>
    <w:next w:val="a"/>
    <w:link w:val="4Char"/>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ind w:left="106"/>
    </w:pPr>
    <w:rPr>
      <w:rFonts w:ascii="仿宋" w:eastAsia="仿宋" w:hAnsi="仿宋"/>
      <w:sz w:val="32"/>
      <w:szCs w:val="32"/>
    </w:rPr>
  </w:style>
  <w:style w:type="paragraph" w:styleId="a4">
    <w:name w:val="Date"/>
    <w:basedOn w:val="a"/>
    <w:next w:val="a"/>
    <w:link w:val="Char"/>
    <w:uiPriority w:val="99"/>
    <w:unhideWhenUsed/>
    <w:qFormat/>
    <w:pPr>
      <w:ind w:leftChars="2500" w:left="100"/>
    </w:pPr>
  </w:style>
  <w:style w:type="paragraph" w:styleId="a5">
    <w:name w:val="Balloon Text"/>
    <w:basedOn w:val="a"/>
    <w:uiPriority w:val="99"/>
    <w:unhideWhenUsed/>
    <w:qFormat/>
    <w:rPr>
      <w:rFonts w:ascii="Times New Roman" w:eastAsia="宋体" w:hAnsi="Times New Roman" w:cs="Times New Roman"/>
      <w:sz w:val="18"/>
      <w:szCs w:val="18"/>
    </w:rPr>
  </w:style>
  <w:style w:type="paragraph" w:styleId="a6">
    <w:name w:val="footer"/>
    <w:basedOn w:val="a"/>
    <w:link w:val="Char0"/>
    <w:uiPriority w:val="99"/>
    <w:unhideWhenUsed/>
    <w:qFormat/>
    <w:pPr>
      <w:tabs>
        <w:tab w:val="center" w:pos="4153"/>
        <w:tab w:val="right" w:pos="8306"/>
      </w:tabs>
      <w:snapToGrid w:val="0"/>
    </w:pPr>
    <w:rPr>
      <w:sz w:val="18"/>
      <w:szCs w:val="18"/>
    </w:rPr>
  </w:style>
  <w:style w:type="paragraph" w:styleId="a7">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nhideWhenUsed/>
    <w:qFormat/>
    <w:pPr>
      <w:widowControl/>
      <w:spacing w:before="100" w:beforeAutospacing="1" w:after="100" w:afterAutospacing="1"/>
    </w:pPr>
    <w:rPr>
      <w:rFonts w:ascii="宋体" w:eastAsia="宋体" w:hAnsi="宋体" w:cs="宋体"/>
      <w:sz w:val="24"/>
      <w:szCs w:val="24"/>
      <w:lang w:eastAsia="zh-CN"/>
    </w:rPr>
  </w:style>
  <w:style w:type="table" w:customStyle="1" w:styleId="TableNormal">
    <w:name w:val="Table Normal"/>
    <w:uiPriority w:val="2"/>
    <w:unhideWhenUsed/>
    <w:qFormat/>
    <w:tblPr>
      <w:tblCellMar>
        <w:top w:w="0" w:type="dxa"/>
        <w:left w:w="0" w:type="dxa"/>
        <w:bottom w:w="0" w:type="dxa"/>
        <w:right w:w="0" w:type="dxa"/>
      </w:tblCellMar>
    </w:tblPr>
  </w:style>
  <w:style w:type="paragraph" w:customStyle="1" w:styleId="10">
    <w:name w:val="列出段落1"/>
    <w:basedOn w:val="a"/>
    <w:uiPriority w:val="34"/>
    <w:qFormat/>
  </w:style>
  <w:style w:type="paragraph" w:customStyle="1" w:styleId="TableParagraph">
    <w:name w:val="Table Paragraph"/>
    <w:basedOn w:val="a"/>
    <w:uiPriority w:val="1"/>
    <w:qFormat/>
  </w:style>
  <w:style w:type="character" w:customStyle="1" w:styleId="4Char">
    <w:name w:val="标题 4 Char"/>
    <w:basedOn w:val="a0"/>
    <w:link w:val="4"/>
    <w:uiPriority w:val="9"/>
    <w:semiHidden/>
    <w:qFormat/>
    <w:rPr>
      <w:rFonts w:asciiTheme="majorHAnsi" w:eastAsiaTheme="majorEastAsia" w:hAnsiTheme="majorHAnsi" w:cstheme="majorBidi"/>
      <w:b/>
      <w:bCs/>
      <w:sz w:val="28"/>
      <w:szCs w:val="28"/>
    </w:rPr>
  </w:style>
  <w:style w:type="character" w:customStyle="1" w:styleId="Char1">
    <w:name w:val="页眉 Char"/>
    <w:basedOn w:val="a0"/>
    <w:link w:val="a7"/>
    <w:uiPriority w:val="99"/>
    <w:qFormat/>
    <w:rPr>
      <w:sz w:val="18"/>
      <w:szCs w:val="18"/>
    </w:rPr>
  </w:style>
  <w:style w:type="character" w:customStyle="1" w:styleId="Char0">
    <w:name w:val="页脚 Char"/>
    <w:basedOn w:val="a0"/>
    <w:link w:val="a6"/>
    <w:uiPriority w:val="99"/>
    <w:qFormat/>
    <w:rPr>
      <w:sz w:val="18"/>
      <w:szCs w:val="18"/>
    </w:r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lang w:eastAsia="en-US"/>
    </w:rPr>
  </w:style>
  <w:style w:type="character" w:customStyle="1" w:styleId="Char">
    <w:name w:val="日期 Char"/>
    <w:basedOn w:val="a0"/>
    <w:link w:val="a4"/>
    <w:uiPriority w:val="99"/>
    <w:semiHidden/>
    <w:qFormat/>
  </w:style>
  <w:style w:type="paragraph" w:customStyle="1" w:styleId="a9">
    <w:name w:val="文字"/>
    <w:basedOn w:val="a"/>
    <w:link w:val="Char2"/>
    <w:qFormat/>
    <w:pPr>
      <w:spacing w:line="560" w:lineRule="exact"/>
      <w:ind w:firstLineChars="200" w:firstLine="200"/>
      <w:jc w:val="both"/>
    </w:pPr>
    <w:rPr>
      <w:rFonts w:ascii="Times New Roman" w:eastAsia="仿宋_GB2312" w:hAnsi="Times New Roman" w:cs="Times New Roman"/>
      <w:kern w:val="2"/>
      <w:sz w:val="30"/>
      <w:szCs w:val="30"/>
      <w:lang w:eastAsia="zh-CN"/>
    </w:rPr>
  </w:style>
  <w:style w:type="character" w:customStyle="1" w:styleId="Char2">
    <w:name w:val="文字 Char"/>
    <w:basedOn w:val="a0"/>
    <w:link w:val="a9"/>
    <w:qFormat/>
    <w:rPr>
      <w:rFonts w:ascii="Times New Roman" w:eastAsia="仿宋_GB2312" w:hAnsi="Times New Roman" w:cs="Times New Roman"/>
      <w:kern w:val="2"/>
      <w:sz w:val="30"/>
      <w:szCs w:val="30"/>
    </w:rPr>
  </w:style>
  <w:style w:type="paragraph" w:customStyle="1" w:styleId="2">
    <w:name w:val="列出段落2"/>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11</Pages>
  <Words>442</Words>
  <Characters>2520</Characters>
  <Application>Microsoft Office Word</Application>
  <DocSecurity>0</DocSecurity>
  <Lines>21</Lines>
  <Paragraphs>5</Paragraphs>
  <ScaleCrop>false</ScaleCrop>
  <Company>Microsoft</Company>
  <LinksUpToDate>false</LinksUpToDate>
  <CharactersWithSpaces>2957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市政府常务会议</dc:title>
  <dc:creator>changfangyuan</dc:creator>
  <cp:lastModifiedBy>郑光裕</cp:lastModifiedBy>
  <cp:revision>6</cp:revision>
  <cp:lastPrinted>2022-11-17T07:20:00Z</cp:lastPrinted>
  <dcterms:created xsi:type="dcterms:W3CDTF">2023-01-06T06:38:00Z</dcterms:created>
  <dcterms:modified xsi:type="dcterms:W3CDTF">2023-01-06T06:47:00Z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2021-09-10T00:00:00Z</vt:filetime>
  </property>
  <property fmtid="{D5CDD505-2E9C-101B-9397-08002B2CF9AE}" pid="3" name="LastSaved">
    <vt:filetime>2022-02-14T00:00:00Z</vt:filetime>
  </property>
  <property fmtid="{D5CDD505-2E9C-101B-9397-08002B2CF9AE}" pid="4" name="KSOProductBuildVer">
    <vt:lpwstr>2052-11.8.2.10912</vt:lpwstr>
  </property>
  <property fmtid="{D5CDD505-2E9C-101B-9397-08002B2CF9AE}" pid="5" name="ICV">
    <vt:lpwstr>132A54FE55F144CDA9551F8E8159F9C8</vt:lpwstr>
  </property>
</Properties>
</file>