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eastAsia="黑体"/>
          <w:sz w:val="24"/>
          <w:szCs w:val="24"/>
        </w:rPr>
      </w:pPr>
      <w:r>
        <w:rPr>
          <w:rFonts w:hint="eastAsia" w:ascii="黑体" w:eastAsia="黑体"/>
          <w:sz w:val="24"/>
          <w:szCs w:val="24"/>
        </w:rPr>
        <w:t>附件</w:t>
      </w:r>
    </w:p>
    <w:p>
      <w:pPr>
        <w:jc w:val="center"/>
        <w:rPr>
          <w:rFonts w:ascii="楷体_GB2312" w:eastAsia="楷体_GB2312"/>
          <w:sz w:val="32"/>
          <w:szCs w:val="32"/>
        </w:rPr>
      </w:pPr>
      <w:r>
        <w:rPr>
          <w:rFonts w:hint="eastAsia" w:ascii="小标宋" w:eastAsia="小标宋"/>
          <w:sz w:val="32"/>
          <w:szCs w:val="32"/>
        </w:rPr>
        <w:t>防汛</w:t>
      </w:r>
      <w:r>
        <w:rPr>
          <w:rFonts w:ascii="小标宋" w:eastAsia="小标宋"/>
          <w:sz w:val="32"/>
          <w:szCs w:val="32"/>
        </w:rPr>
        <w:t>应急</w:t>
      </w:r>
      <w:r>
        <w:rPr>
          <w:rFonts w:hint="eastAsia" w:ascii="小标宋" w:eastAsia="小标宋"/>
          <w:sz w:val="32"/>
          <w:szCs w:val="32"/>
        </w:rPr>
        <w:t>物资</w:t>
      </w:r>
      <w:r>
        <w:rPr>
          <w:rFonts w:ascii="小标宋" w:eastAsia="小标宋"/>
          <w:sz w:val="32"/>
          <w:szCs w:val="32"/>
        </w:rPr>
        <w:t>采购</w:t>
      </w:r>
      <w:r>
        <w:rPr>
          <w:rFonts w:hint="eastAsia" w:ascii="小标宋" w:eastAsia="小标宋"/>
          <w:sz w:val="32"/>
          <w:szCs w:val="32"/>
        </w:rPr>
        <w:t>清单</w:t>
      </w:r>
    </w:p>
    <w:tbl>
      <w:tblPr>
        <w:tblStyle w:val="6"/>
        <w:tblW w:w="772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8"/>
        <w:gridCol w:w="1397"/>
        <w:gridCol w:w="810"/>
        <w:gridCol w:w="49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1" w:hRule="atLeast"/>
          <w:tblHeader/>
          <w:jc w:val="center"/>
        </w:trPr>
        <w:tc>
          <w:tcPr>
            <w:tcW w:w="568" w:type="dxa"/>
            <w:vAlign w:val="center"/>
          </w:tcPr>
          <w:p>
            <w:pPr>
              <w:jc w:val="center"/>
              <w:rPr>
                <w:rFonts w:hint="eastAsia" w:ascii="仿宋" w:eastAsia="仿宋" w:cs="仿宋"/>
                <w:sz w:val="21"/>
                <w:szCs w:val="21"/>
              </w:rPr>
            </w:pPr>
            <w:r>
              <w:rPr>
                <w:rFonts w:hint="eastAsia" w:ascii="仿宋" w:eastAsia="仿宋" w:cs="仿宋"/>
                <w:sz w:val="21"/>
                <w:szCs w:val="21"/>
              </w:rPr>
              <w:t>序号</w:t>
            </w:r>
          </w:p>
        </w:tc>
        <w:tc>
          <w:tcPr>
            <w:tcW w:w="1397" w:type="dxa"/>
            <w:vAlign w:val="center"/>
          </w:tcPr>
          <w:p>
            <w:pPr>
              <w:jc w:val="center"/>
              <w:rPr>
                <w:rFonts w:hint="eastAsia" w:ascii="仿宋" w:eastAsia="仿宋" w:cs="仿宋"/>
                <w:sz w:val="21"/>
                <w:szCs w:val="21"/>
              </w:rPr>
            </w:pPr>
            <w:r>
              <w:rPr>
                <w:rFonts w:hint="eastAsia" w:ascii="仿宋" w:eastAsia="仿宋" w:cs="仿宋"/>
                <w:sz w:val="21"/>
                <w:szCs w:val="21"/>
              </w:rPr>
              <w:t>物资名称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仿宋" w:eastAsia="仿宋" w:cs="仿宋"/>
                <w:sz w:val="21"/>
                <w:szCs w:val="21"/>
              </w:rPr>
            </w:pPr>
            <w:r>
              <w:rPr>
                <w:rFonts w:hint="eastAsia" w:ascii="仿宋" w:eastAsia="仿宋" w:cs="仿宋"/>
                <w:sz w:val="21"/>
                <w:szCs w:val="21"/>
              </w:rPr>
              <w:t>数量</w:t>
            </w:r>
          </w:p>
        </w:tc>
        <w:tc>
          <w:tcPr>
            <w:tcW w:w="49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eastAsia="仿宋" w:cs="仿宋"/>
                <w:sz w:val="21"/>
                <w:szCs w:val="21"/>
              </w:rPr>
            </w:pPr>
            <w:r>
              <w:rPr>
                <w:rFonts w:hint="eastAsia" w:asci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基本要求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568" w:type="dxa"/>
            <w:vAlign w:val="center"/>
          </w:tcPr>
          <w:p>
            <w:pPr>
              <w:jc w:val="center"/>
              <w:rPr>
                <w:rFonts w:ascii="仿宋" w:eastAsia="仿宋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sz w:val="18"/>
                <w:szCs w:val="18"/>
                <w:highlight w:val="none"/>
              </w:rPr>
              <w:t>1</w:t>
            </w:r>
          </w:p>
        </w:tc>
        <w:tc>
          <w:tcPr>
            <w:tcW w:w="1397" w:type="dxa"/>
            <w:vAlign w:val="center"/>
          </w:tcPr>
          <w:p>
            <w:pPr>
              <w:jc w:val="center"/>
              <w:rPr>
                <w:rFonts w:ascii="仿宋" w:eastAsia="仿宋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</w:rPr>
              <w:t>橡皮冲锋舟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ascii="仿宋" w:eastAsia="仿宋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color w:val="auto"/>
                <w:sz w:val="18"/>
                <w:szCs w:val="18"/>
                <w:highlight w:val="none"/>
              </w:rPr>
              <w:t>1</w:t>
            </w:r>
            <w:r>
              <w:rPr>
                <w:rFonts w:hint="eastAsia" w:ascii="仿宋" w:eastAsia="仿宋"/>
                <w:color w:val="auto"/>
                <w:sz w:val="18"/>
                <w:szCs w:val="18"/>
                <w:highlight w:val="none"/>
                <w:lang w:val="en-US" w:eastAsia="zh-CN"/>
              </w:rPr>
              <w:t>5</w:t>
            </w:r>
            <w:r>
              <w:rPr>
                <w:rFonts w:hint="eastAsia" w:ascii="仿宋" w:eastAsia="仿宋"/>
                <w:color w:val="auto"/>
                <w:sz w:val="18"/>
                <w:szCs w:val="18"/>
                <w:highlight w:val="none"/>
              </w:rPr>
              <w:t>艘</w:t>
            </w:r>
          </w:p>
        </w:tc>
        <w:tc>
          <w:tcPr>
            <w:tcW w:w="49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rPr>
                <w:rFonts w:ascii="仿宋" w:eastAsia="仿宋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 w:cs="仿宋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载重≥835kg ；适配动力≥20HP ；载员≥7人；配有舷外机挂板、1套铝合金舱底板；</w:t>
            </w:r>
            <w:r>
              <w:rPr>
                <w:rFonts w:hint="eastAsia" w:ascii="仿宋" w:eastAsia="仿宋" w:cs="仿宋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橡胶压模件与金属粘合强度</w:t>
            </w:r>
            <w:r>
              <w:rPr>
                <w:rFonts w:hint="eastAsia" w:ascii="仿宋" w:eastAsia="仿宋" w:cs="仿宋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 w:cs="仿宋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19.6Mpa；船体耐压性：充气压力 40kPa， 静放时间 5min 时，舟舷、浮襄、龙骨均无异常。气密性：舟舷充气压力 20kPa，静放时间120min 时，剩余压力≥18Kpa；浮襄充气压力 40kPa，静放时120min 时，剩余压力≥36Kpa；防浪、横撑充气压力 13kPa，静放时间 15min 时，剩余压力≥12Kpa；龙骨充气压20kPa，静放时间15min 时，剩余压力≥18Kpa。</w:t>
            </w:r>
            <w:r>
              <w:rPr>
                <w:rFonts w:hint="eastAsia" w:ascii="仿宋" w:eastAsia="仿宋" w:cs="仿宋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干舷：橡皮舟满载额定乘员时，其干舷（即满载吃水线）应不低于 1/2 舷筒。接缝强度：不小于橡胶涂覆织物主体的强度。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2" w:hRule="atLeast"/>
          <w:jc w:val="center"/>
        </w:trPr>
        <w:tc>
          <w:tcPr>
            <w:tcW w:w="568" w:type="dxa"/>
            <w:vAlign w:val="center"/>
          </w:tcPr>
          <w:p>
            <w:pPr>
              <w:jc w:val="center"/>
              <w:rPr>
                <w:rFonts w:ascii="仿宋" w:eastAsia="仿宋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sz w:val="18"/>
                <w:szCs w:val="18"/>
                <w:highlight w:val="none"/>
              </w:rPr>
              <w:t>2</w:t>
            </w:r>
          </w:p>
        </w:tc>
        <w:tc>
          <w:tcPr>
            <w:tcW w:w="1397" w:type="dxa"/>
            <w:vAlign w:val="center"/>
          </w:tcPr>
          <w:p>
            <w:pPr>
              <w:jc w:val="center"/>
              <w:rPr>
                <w:rFonts w:ascii="仿宋" w:eastAsia="仿宋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  <w:shd w:val="clear" w:color="auto" w:fill="FFFFFF"/>
              </w:rPr>
              <w:t>移动升降照明灯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ascii="仿宋" w:eastAsia="仿宋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  <w:shd w:val="clear" w:color="auto" w:fill="FFFFFF"/>
                <w:lang w:val="en-US" w:eastAsia="zh-CN"/>
              </w:rPr>
              <w:t>6</w:t>
            </w:r>
            <w:r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  <w:shd w:val="clear" w:color="auto" w:fill="FFFFFF"/>
              </w:rPr>
              <w:t>台</w:t>
            </w:r>
          </w:p>
        </w:tc>
        <w:tc>
          <w:tcPr>
            <w:tcW w:w="49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" w:eastAsia="仿宋" w:cs="仿宋"/>
                <w:sz w:val="18"/>
                <w:szCs w:val="18"/>
                <w:highlight w:val="none"/>
                <w:lang w:val="en-US" w:eastAsia="zh-CN"/>
              </w:rPr>
              <w:t>功率</w:t>
            </w:r>
            <w:r>
              <w:rPr>
                <w:rFonts w:hint="eastAsia" w:ascii="仿宋" w:eastAsia="仿宋" w:cs="仿宋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 w:cs="仿宋"/>
                <w:sz w:val="18"/>
                <w:szCs w:val="18"/>
                <w:highlight w:val="none"/>
                <w:lang w:val="en-US" w:eastAsia="zh-CN"/>
              </w:rPr>
              <w:t>110W，</w:t>
            </w:r>
            <w:r>
              <w:rPr>
                <w:rFonts w:hint="eastAsia" w:ascii="仿宋" w:eastAsia="仿宋" w:cs="仿宋"/>
                <w:iCs/>
                <w:sz w:val="18"/>
                <w:szCs w:val="18"/>
                <w:highlight w:val="none"/>
                <w:lang w:eastAsia="zh-CN"/>
              </w:rPr>
              <w:t>照明时间强光</w:t>
            </w:r>
            <w:r>
              <w:rPr>
                <w:rFonts w:hint="eastAsia" w:ascii="仿宋" w:eastAsia="仿宋" w:cs="仿宋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 w:cs="仿宋"/>
                <w:iCs/>
                <w:sz w:val="18"/>
                <w:szCs w:val="18"/>
                <w:highlight w:val="none"/>
                <w:lang w:val="en-US" w:eastAsia="zh-CN"/>
              </w:rPr>
              <w:t>8h，</w:t>
            </w:r>
            <w:r>
              <w:rPr>
                <w:rFonts w:hint="eastAsia" w:ascii="仿宋" w:eastAsia="仿宋" w:cs="仿宋"/>
                <w:iCs/>
                <w:sz w:val="18"/>
                <w:szCs w:val="18"/>
                <w:lang w:val="en-US" w:eastAsia="zh-CN"/>
              </w:rPr>
              <w:t>泛光</w:t>
            </w:r>
            <w:r>
              <w:rPr>
                <w:rFonts w:hint="eastAsia" w:ascii="仿宋" w:eastAsia="仿宋" w:cs="仿宋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 w:cs="仿宋"/>
                <w:iCs/>
                <w:sz w:val="18"/>
                <w:szCs w:val="18"/>
                <w:lang w:val="en-US" w:eastAsia="zh-CN"/>
              </w:rPr>
              <w:t>16h，</w:t>
            </w:r>
            <w:r>
              <w:rPr>
                <w:rFonts w:hint="eastAsia" w:ascii="仿宋" w:eastAsia="仿宋" w:cs="仿宋"/>
                <w:iCs/>
                <w:sz w:val="18"/>
                <w:szCs w:val="18"/>
                <w:highlight w:val="none"/>
                <w:lang w:val="en-US" w:eastAsia="zh-CN"/>
              </w:rPr>
              <w:t>升降高度</w:t>
            </w:r>
            <w:r>
              <w:rPr>
                <w:rFonts w:hint="eastAsia" w:ascii="仿宋" w:eastAsia="仿宋" w:cs="仿宋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 w:cs="仿宋"/>
                <w:iCs/>
                <w:sz w:val="18"/>
                <w:szCs w:val="18"/>
                <w:highlight w:val="none"/>
                <w:lang w:val="en-US" w:eastAsia="zh-CN"/>
              </w:rPr>
              <w:t>1.85m，</w:t>
            </w:r>
            <w:r>
              <w:rPr>
                <w:rFonts w:hint="eastAsia" w:ascii="仿宋" w:eastAsia="仿宋" w:cs="仿宋"/>
                <w:sz w:val="18"/>
                <w:szCs w:val="18"/>
                <w:highlight w:val="none"/>
                <w:lang w:val="en-US" w:eastAsia="zh-CN"/>
              </w:rPr>
              <w:t>灯具光通量＞11000lm具备红蓝警示功能，且可视距离</w:t>
            </w:r>
            <w:r>
              <w:rPr>
                <w:rFonts w:hint="eastAsia" w:ascii="仿宋" w:eastAsia="仿宋" w:cs="仿宋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 w:cs="仿宋"/>
                <w:sz w:val="18"/>
                <w:szCs w:val="18"/>
                <w:highlight w:val="none"/>
                <w:lang w:val="en-US" w:eastAsia="zh-CN"/>
              </w:rPr>
              <w:t>1000m，</w:t>
            </w:r>
            <w:r>
              <w:rPr>
                <w:rFonts w:hint="eastAsia" w:ascii="仿宋" w:eastAsia="仿宋" w:cs="仿宋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箱体配备多功能控制LCD屏，</w:t>
            </w:r>
            <w:r>
              <w:rPr>
                <w:rFonts w:hint="eastAsia" w:ascii="仿宋" w:eastAsia="仿宋" w:cs="仿宋"/>
                <w:sz w:val="18"/>
                <w:szCs w:val="18"/>
                <w:highlight w:val="none"/>
                <w:lang w:val="en-US" w:eastAsia="zh-CN"/>
              </w:rPr>
              <w:t>内置音箱，</w:t>
            </w:r>
            <w:r>
              <w:rPr>
                <w:rFonts w:hint="eastAsia" w:ascii="仿宋" w:eastAsia="仿宋" w:cs="仿宋"/>
                <w:iCs/>
                <w:color w:val="auto"/>
                <w:sz w:val="18"/>
                <w:szCs w:val="18"/>
                <w:highlight w:val="none"/>
              </w:rPr>
              <w:t>能连接手机蓝牙</w:t>
            </w:r>
            <w:r>
              <w:rPr>
                <w:rFonts w:hint="eastAsia" w:ascii="仿宋" w:eastAsia="仿宋" w:cs="仿宋"/>
                <w:iCs/>
                <w:color w:val="auto"/>
                <w:sz w:val="18"/>
                <w:szCs w:val="18"/>
                <w:highlight w:val="none"/>
                <w:lang w:eastAsia="zh-CN"/>
              </w:rPr>
              <w:t>，具备</w:t>
            </w:r>
            <w:r>
              <w:rPr>
                <w:rFonts w:hint="eastAsia" w:ascii="仿宋" w:eastAsia="仿宋" w:cs="仿宋"/>
                <w:iCs/>
                <w:color w:val="auto"/>
                <w:sz w:val="18"/>
                <w:szCs w:val="18"/>
                <w:highlight w:val="none"/>
              </w:rPr>
              <w:t>录音播放功能</w:t>
            </w:r>
            <w:r>
              <w:rPr>
                <w:rFonts w:hint="eastAsia" w:ascii="仿宋" w:eastAsia="仿宋" w:cs="仿宋"/>
                <w:iCs/>
                <w:color w:val="auto"/>
                <w:sz w:val="18"/>
                <w:szCs w:val="18"/>
                <w:highlight w:val="none"/>
                <w:lang w:eastAsia="zh-CN"/>
              </w:rPr>
              <w:t>。</w:t>
            </w:r>
            <w:r>
              <w:rPr>
                <w:rFonts w:hint="eastAsia" w:ascii="仿宋" w:eastAsia="仿宋" w:cs="仿宋"/>
                <w:sz w:val="18"/>
                <w:szCs w:val="18"/>
                <w:highlight w:val="none"/>
                <w:lang w:val="en-US" w:eastAsia="zh-CN"/>
              </w:rPr>
              <w:t>配备潜水手电：可组合使用也可拆分使用，防护等级IP68，潜水深度</w:t>
            </w:r>
            <w:r>
              <w:rPr>
                <w:rFonts w:hint="eastAsia" w:ascii="仿宋" w:eastAsia="仿宋" w:cs="仿宋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 w:cs="仿宋"/>
                <w:sz w:val="18"/>
                <w:szCs w:val="18"/>
                <w:highlight w:val="none"/>
                <w:lang w:val="en-US" w:eastAsia="zh-CN"/>
              </w:rPr>
              <w:t>30m，具备SOS灯光信号报警功能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1" w:hRule="atLeast"/>
          <w:jc w:val="center"/>
        </w:trPr>
        <w:tc>
          <w:tcPr>
            <w:tcW w:w="568" w:type="dxa"/>
            <w:vAlign w:val="center"/>
          </w:tcPr>
          <w:p>
            <w:pPr>
              <w:jc w:val="center"/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  <w:t>3</w:t>
            </w:r>
          </w:p>
        </w:tc>
        <w:tc>
          <w:tcPr>
            <w:tcW w:w="1397" w:type="dxa"/>
            <w:vAlign w:val="center"/>
          </w:tcPr>
          <w:p>
            <w:pPr>
              <w:jc w:val="center"/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  <w:shd w:val="clear" w:color="auto" w:fill="FFFFFF"/>
              </w:rPr>
            </w:pPr>
            <w:r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</w:rPr>
              <w:t>强光手电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</w:rPr>
              <w:t>100把</w:t>
            </w:r>
          </w:p>
        </w:tc>
        <w:tc>
          <w:tcPr>
            <w:tcW w:w="4950" w:type="dxa"/>
            <w:vAlign w:val="center"/>
          </w:tcPr>
          <w:p>
            <w:pPr>
              <w:pStyle w:val="8"/>
              <w:widowControl w:val="0"/>
              <w:spacing w:line="240" w:lineRule="auto"/>
              <w:jc w:val="both"/>
              <w:rPr>
                <w:rFonts w:hint="eastAsia" w:ascii="仿宋" w:eastAsia="仿宋" w:cs="仿宋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" w:eastAsia="仿宋" w:cs="仿宋"/>
                <w:b w:val="0"/>
                <w:bCs/>
                <w:sz w:val="18"/>
                <w:szCs w:val="18"/>
                <w:highlight w:val="none"/>
                <w:lang w:val="en-US" w:eastAsia="zh-CN"/>
              </w:rPr>
              <w:t>照明时间：强光</w:t>
            </w:r>
            <w:r>
              <w:rPr>
                <w:rFonts w:hint="eastAsia" w:ascii="仿宋" w:eastAsia="仿宋" w:cs="仿宋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 w:cs="仿宋"/>
                <w:b w:val="0"/>
                <w:bCs/>
                <w:sz w:val="18"/>
                <w:szCs w:val="18"/>
                <w:highlight w:val="none"/>
                <w:lang w:val="en-US" w:eastAsia="zh-CN"/>
              </w:rPr>
              <w:t>6h，</w:t>
            </w:r>
            <w:r>
              <w:rPr>
                <w:rFonts w:hint="eastAsia" w:ascii="仿宋" w:eastAsia="仿宋" w:cs="仿宋"/>
                <w:b w:val="0"/>
                <w:bCs/>
                <w:sz w:val="18"/>
                <w:szCs w:val="18"/>
                <w:lang w:val="en-US" w:eastAsia="zh-CN"/>
              </w:rPr>
              <w:t>工作光</w:t>
            </w:r>
            <w:r>
              <w:rPr>
                <w:rFonts w:hint="eastAsia" w:ascii="仿宋" w:eastAsia="仿宋" w:cs="仿宋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 w:cs="仿宋"/>
                <w:b w:val="0"/>
                <w:bCs/>
                <w:sz w:val="18"/>
                <w:szCs w:val="18"/>
                <w:lang w:val="en-US" w:eastAsia="zh-CN"/>
              </w:rPr>
              <w:t>16h，</w:t>
            </w:r>
            <w:r>
              <w:rPr>
                <w:rFonts w:hint="eastAsia" w:ascii="仿宋" w:eastAsia="仿宋" w:cs="仿宋"/>
                <w:b w:val="0"/>
                <w:bCs/>
                <w:sz w:val="18"/>
                <w:szCs w:val="18"/>
                <w:highlight w:val="none"/>
                <w:lang w:eastAsia="zh-CN"/>
              </w:rPr>
              <w:t>可调光；电池为高能锂电池；</w:t>
            </w:r>
            <w:r>
              <w:rPr>
                <w:rFonts w:hint="eastAsia" w:ascii="仿宋" w:eastAsia="仿宋" w:cs="仿宋"/>
                <w:b w:val="0"/>
                <w:bCs/>
                <w:sz w:val="18"/>
                <w:szCs w:val="18"/>
                <w:lang w:eastAsia="zh-CN"/>
              </w:rPr>
              <w:t>电池额定容量</w:t>
            </w:r>
            <w:r>
              <w:rPr>
                <w:rFonts w:hint="eastAsia" w:ascii="仿宋" w:eastAsia="仿宋" w:cs="仿宋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 w:cs="仿宋"/>
                <w:b w:val="0"/>
                <w:bCs/>
                <w:sz w:val="18"/>
                <w:szCs w:val="18"/>
                <w:lang w:eastAsia="zh-CN"/>
              </w:rPr>
              <w:t>2500mAh，额定功率</w:t>
            </w:r>
            <w:r>
              <w:rPr>
                <w:rFonts w:hint="eastAsia" w:ascii="仿宋" w:eastAsia="仿宋" w:cs="仿宋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 w:cs="仿宋"/>
                <w:b w:val="0"/>
                <w:bCs/>
                <w:sz w:val="18"/>
                <w:szCs w:val="18"/>
                <w:lang w:eastAsia="zh-CN"/>
              </w:rPr>
              <w:t>2.5w</w:t>
            </w:r>
            <w:r>
              <w:rPr>
                <w:rFonts w:hint="eastAsia" w:ascii="仿宋" w:eastAsia="仿宋" w:cs="仿宋"/>
                <w:b w:val="0"/>
                <w:bCs/>
                <w:sz w:val="18"/>
                <w:szCs w:val="18"/>
                <w:highlight w:val="none"/>
                <w:lang w:eastAsia="zh-CN"/>
              </w:rPr>
              <w:t>；</w:t>
            </w:r>
            <w:r>
              <w:rPr>
                <w:rFonts w:hint="eastAsia" w:ascii="仿宋" w:eastAsia="仿宋" w:cs="仿宋"/>
                <w:b w:val="0"/>
                <w:bCs/>
                <w:sz w:val="18"/>
                <w:szCs w:val="18"/>
                <w:lang w:eastAsia="zh-CN"/>
              </w:rPr>
              <w:t>光通量：强光亮度</w:t>
            </w:r>
            <w:r>
              <w:rPr>
                <w:rFonts w:hint="eastAsia" w:ascii="仿宋" w:eastAsia="仿宋" w:cs="仿宋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 w:cs="仿宋"/>
                <w:b w:val="0"/>
                <w:bCs/>
                <w:sz w:val="18"/>
                <w:szCs w:val="18"/>
                <w:lang w:eastAsia="zh-CN"/>
              </w:rPr>
              <w:t>218lm，工作光</w:t>
            </w:r>
            <w:r>
              <w:rPr>
                <w:rFonts w:hint="eastAsia" w:ascii="仿宋" w:eastAsia="仿宋" w:cs="仿宋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 w:cs="仿宋"/>
                <w:b w:val="0"/>
                <w:bCs/>
                <w:sz w:val="18"/>
                <w:szCs w:val="18"/>
                <w:lang w:eastAsia="zh-CN"/>
              </w:rPr>
              <w:t>50.5lm</w:t>
            </w:r>
            <w:r>
              <w:rPr>
                <w:rFonts w:hint="eastAsia" w:cs="宋体"/>
                <w:b w:val="0"/>
                <w:bCs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仿宋" w:eastAsia="仿宋" w:cs="仿宋"/>
                <w:b w:val="0"/>
                <w:bCs/>
                <w:sz w:val="18"/>
                <w:szCs w:val="18"/>
                <w:highlight w:val="none"/>
                <w:lang w:eastAsia="zh-CN"/>
              </w:rPr>
              <w:t>外壳防水防摔。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0" w:hRule="atLeast"/>
          <w:jc w:val="center"/>
        </w:trPr>
        <w:tc>
          <w:tcPr>
            <w:tcW w:w="568" w:type="dxa"/>
            <w:vAlign w:val="center"/>
          </w:tcPr>
          <w:p>
            <w:pPr>
              <w:jc w:val="center"/>
              <w:rPr>
                <w:rFonts w:hint="eastAsia" w:ascii="仿宋" w:eastAsia="仿宋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  <w:t>4</w:t>
            </w:r>
          </w:p>
        </w:tc>
        <w:tc>
          <w:tcPr>
            <w:tcW w:w="1397" w:type="dxa"/>
            <w:vAlign w:val="center"/>
          </w:tcPr>
          <w:p>
            <w:pPr>
              <w:jc w:val="center"/>
              <w:rPr>
                <w:rFonts w:ascii="仿宋" w:eastAsia="仿宋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</w:rPr>
              <w:t>吨袋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ascii="仿宋" w:eastAsia="仿宋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</w:rPr>
              <w:t>1000件</w:t>
            </w:r>
          </w:p>
        </w:tc>
        <w:tc>
          <w:tcPr>
            <w:tcW w:w="4950" w:type="dxa"/>
            <w:vAlign w:val="center"/>
          </w:tcPr>
          <w:p>
            <w:pPr>
              <w:rPr>
                <w:rFonts w:hint="eastAsia" w:ascii="仿宋" w:eastAsia="仿宋" w:cs="仿宋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" w:eastAsia="仿宋" w:cs="仿宋"/>
                <w:sz w:val="18"/>
                <w:szCs w:val="18"/>
                <w:highlight w:val="none"/>
                <w:lang w:eastAsia="zh-CN"/>
              </w:rPr>
              <w:t>尺寸</w:t>
            </w:r>
            <w:r>
              <w:rPr>
                <w:rFonts w:hint="eastAsia" w:ascii="仿宋" w:eastAsia="仿宋" w:cs="仿宋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 w:cs="仿宋"/>
                <w:sz w:val="18"/>
                <w:szCs w:val="18"/>
                <w:highlight w:val="none"/>
                <w:lang w:val="en-US" w:eastAsia="zh-CN"/>
              </w:rPr>
              <w:t>100*100*100；承重：托底款1.5-</w:t>
            </w:r>
            <w:r>
              <w:rPr>
                <w:rFonts w:hint="eastAsia" w:ascii="仿宋" w:eastAsia="仿宋" w:cs="仿宋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2吨 ；</w:t>
            </w:r>
          </w:p>
          <w:p>
            <w:pPr>
              <w:rPr>
                <w:rFonts w:hint="eastAsia" w:ascii="仿宋" w:eastAsia="仿宋" w:cs="仿宋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" w:eastAsia="仿宋" w:cs="仿宋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袋型：</w:t>
            </w:r>
            <w:r>
              <w:rPr>
                <w:rFonts w:hint="eastAsia" w:ascii="仿宋" w:eastAsia="仿宋" w:cs="仿宋"/>
                <w:sz w:val="18"/>
                <w:szCs w:val="18"/>
                <w:highlight w:val="none"/>
                <w:lang w:eastAsia="zh-CN"/>
              </w:rPr>
              <w:t>大开口</w:t>
            </w:r>
            <w:r>
              <w:rPr>
                <w:rFonts w:hint="eastAsia" w:ascii="仿宋" w:eastAsia="仿宋" w:cs="仿宋"/>
                <w:sz w:val="18"/>
                <w:szCs w:val="18"/>
                <w:highlight w:val="none"/>
                <w:lang w:val="en-US" w:eastAsia="zh-CN"/>
              </w:rPr>
              <w:t>/平底、加封口布、加进料口；</w:t>
            </w:r>
          </w:p>
          <w:p>
            <w:pPr>
              <w:rPr>
                <w:rFonts w:ascii="仿宋" w:eastAsia="仿宋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" w:eastAsia="仿宋" w:cs="仿宋"/>
                <w:sz w:val="18"/>
                <w:szCs w:val="18"/>
                <w:highlight w:val="none"/>
                <w:lang w:val="en-US" w:eastAsia="zh-CN"/>
              </w:rPr>
              <w:t>吊带数：2个吊带；材质：全新料PP（聚丙烯）。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8" w:hRule="atLeast"/>
          <w:jc w:val="center"/>
        </w:trPr>
        <w:tc>
          <w:tcPr>
            <w:tcW w:w="568" w:type="dxa"/>
            <w:vAlign w:val="center"/>
          </w:tcPr>
          <w:p>
            <w:pPr>
              <w:jc w:val="center"/>
              <w:rPr>
                <w:rFonts w:ascii="仿宋" w:eastAsia="仿宋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  <w:t>5</w:t>
            </w:r>
          </w:p>
        </w:tc>
        <w:tc>
          <w:tcPr>
            <w:tcW w:w="1397" w:type="dxa"/>
            <w:vAlign w:val="center"/>
          </w:tcPr>
          <w:p>
            <w:pPr>
              <w:jc w:val="center"/>
              <w:rPr>
                <w:rFonts w:ascii="仿宋" w:eastAsia="仿宋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  <w:shd w:val="clear" w:color="auto" w:fill="FFFFFF"/>
              </w:rPr>
              <w:t>防汛</w:t>
            </w:r>
            <w:r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  <w:shd w:val="clear" w:color="auto" w:fill="FFFFFF"/>
                <w:lang w:eastAsia="zh-CN"/>
              </w:rPr>
              <w:t>挡</w:t>
            </w:r>
            <w:r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  <w:shd w:val="clear" w:color="auto" w:fill="FFFFFF"/>
              </w:rPr>
              <w:t>水板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ascii="仿宋" w:eastAsia="仿宋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  <w:shd w:val="clear" w:color="auto" w:fill="FFFFFF"/>
              </w:rPr>
              <w:t>500米</w:t>
            </w:r>
          </w:p>
        </w:tc>
        <w:tc>
          <w:tcPr>
            <w:tcW w:w="4950" w:type="dxa"/>
            <w:vAlign w:val="center"/>
          </w:tcPr>
          <w:p>
            <w:pP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" w:eastAsia="仿宋"/>
                <w:sz w:val="18"/>
                <w:szCs w:val="18"/>
                <w:highlight w:val="none"/>
                <w:lang w:eastAsia="zh-CN"/>
              </w:rPr>
              <w:t>挡板厚度</w:t>
            </w:r>
            <w:r>
              <w:rPr>
                <w:rFonts w:hint="eastAsia" w:asci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  <w:t>40mm ；立柱</w:t>
            </w:r>
            <w:r>
              <w:rPr>
                <w:rFonts w:hint="eastAsia" w:ascii="仿宋" w:eastAsia="仿宋"/>
                <w:sz w:val="18"/>
                <w:szCs w:val="18"/>
                <w:highlight w:val="none"/>
                <w:lang w:eastAsia="zh-CN"/>
              </w:rPr>
              <w:t>尺寸</w:t>
            </w:r>
            <w:r>
              <w:rPr>
                <w:rFonts w:hint="eastAsia" w:asci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  <w:t xml:space="preserve">60*90mm </w:t>
            </w:r>
          </w:p>
          <w:p>
            <w:pPr>
              <w:rPr>
                <w:rFonts w:ascii="仿宋" w:eastAsia="仿宋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  <w:t>材质：铝合金，高度：单块</w:t>
            </w:r>
            <w:r>
              <w:rPr>
                <w:rFonts w:hint="eastAsia" w:ascii="宋体" w:eastAsia="宋体" w:cs="宋体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≥</w:t>
            </w:r>
            <w: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  <w:t>200mm。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9" w:hRule="atLeast"/>
          <w:jc w:val="center"/>
        </w:trPr>
        <w:tc>
          <w:tcPr>
            <w:tcW w:w="568" w:type="dxa"/>
            <w:vAlign w:val="center"/>
          </w:tcPr>
          <w:p>
            <w:pPr>
              <w:jc w:val="center"/>
              <w:rPr>
                <w:rFonts w:hint="eastAsia" w:ascii="仿宋" w:eastAsia="仿宋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  <w:t>6</w:t>
            </w:r>
          </w:p>
        </w:tc>
        <w:tc>
          <w:tcPr>
            <w:tcW w:w="1397" w:type="dxa"/>
            <w:vAlign w:val="center"/>
          </w:tcPr>
          <w:p>
            <w:pPr>
              <w:jc w:val="center"/>
              <w:rPr>
                <w:rFonts w:ascii="仿宋" w:eastAsia="仿宋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sz w:val="18"/>
                <w:szCs w:val="18"/>
                <w:highlight w:val="none"/>
              </w:rPr>
              <w:t>反光雨衣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ascii="仿宋" w:eastAsia="仿宋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color w:val="auto"/>
                <w:sz w:val="18"/>
                <w:szCs w:val="18"/>
                <w:highlight w:val="none"/>
              </w:rPr>
              <w:t>200件</w:t>
            </w:r>
          </w:p>
        </w:tc>
        <w:tc>
          <w:tcPr>
            <w:tcW w:w="49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ascii="仿宋" w:eastAsia="仿宋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 w:cs="仿宋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分体式雨衣，防水织物。尺码：M50 件，L50 件，XL50 件，XXL50件；前后上下均有反光条，上衣、下衣反光条面积均≥200 平方厘米；透气；颜色：黑色。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1" w:hRule="atLeast"/>
          <w:jc w:val="center"/>
        </w:trPr>
        <w:tc>
          <w:tcPr>
            <w:tcW w:w="568" w:type="dxa"/>
            <w:vAlign w:val="center"/>
          </w:tcPr>
          <w:p>
            <w:pPr>
              <w:jc w:val="center"/>
              <w:rPr>
                <w:rFonts w:hint="eastAsia" w:ascii="仿宋" w:eastAsia="仿宋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  <w:t>7</w:t>
            </w:r>
          </w:p>
        </w:tc>
        <w:tc>
          <w:tcPr>
            <w:tcW w:w="1397" w:type="dxa"/>
            <w:vAlign w:val="center"/>
          </w:tcPr>
          <w:p>
            <w:pPr>
              <w:jc w:val="center"/>
              <w:rPr>
                <w:rFonts w:ascii="仿宋" w:eastAsia="仿宋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b w:val="0"/>
                <w:color w:val="auto"/>
                <w:sz w:val="18"/>
                <w:szCs w:val="18"/>
                <w:highlight w:val="none"/>
              </w:rPr>
              <w:t>高压绝缘靴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ascii="仿宋" w:eastAsia="仿宋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仿宋" w:eastAsia="仿宋"/>
                <w:color w:val="auto"/>
                <w:sz w:val="18"/>
                <w:szCs w:val="18"/>
                <w:highlight w:val="none"/>
              </w:rPr>
              <w:t>200双</w:t>
            </w:r>
          </w:p>
        </w:tc>
        <w:tc>
          <w:tcPr>
            <w:tcW w:w="4950" w:type="dxa"/>
            <w:vAlign w:val="center"/>
          </w:tcPr>
          <w:p>
            <w:pP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  <w:t>材质：防电防水橡胶6KV高筒绝缘靴；</w:t>
            </w:r>
          </w:p>
          <w:p>
            <w:pP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" w:eastAsia="仿宋" w:cs="仿宋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尺码：</w:t>
            </w:r>
            <w: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  <w:t>38码30双、39码30双、40码30双、41码30双、</w:t>
            </w:r>
          </w:p>
          <w:p>
            <w:pP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" w:eastAsia="仿宋"/>
                <w:sz w:val="18"/>
                <w:szCs w:val="18"/>
                <w:highlight w:val="none"/>
                <w:lang w:val="en-US" w:eastAsia="zh-CN"/>
              </w:rPr>
              <w:t xml:space="preserve">42码40双、43码40双 </w:t>
            </w:r>
          </w:p>
          <w:p>
            <w:pPr>
              <w:rPr>
                <w:rFonts w:ascii="仿宋" w:eastAsia="仿宋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" w:eastAsia="仿宋" w:cs="仿宋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 xml:space="preserve">颜色：黑色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1" w:hRule="atLeast"/>
          <w:jc w:val="center"/>
        </w:trPr>
        <w:tc>
          <w:tcPr>
            <w:tcW w:w="7725" w:type="dxa"/>
            <w:gridSpan w:val="4"/>
            <w:vAlign w:val="center"/>
          </w:tcPr>
          <w:p>
            <w:pPr>
              <w:jc w:val="center"/>
              <w:rPr>
                <w:rFonts w:hint="eastAsia" w:ascii="仿宋" w:eastAsia="仿宋" w:cs="仿宋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" w:eastAsia="仿宋"/>
                <w:sz w:val="24"/>
                <w:szCs w:val="24"/>
              </w:rPr>
              <w:t>总计</w:t>
            </w:r>
            <w:r>
              <w:rPr>
                <w:rFonts w:hint="eastAsia" w:ascii="仿宋" w:eastAsia="仿宋"/>
                <w:sz w:val="24"/>
                <w:szCs w:val="24"/>
                <w:lang w:val="en-US" w:eastAsia="zh-CN"/>
              </w:rPr>
              <w:t>353550</w:t>
            </w:r>
            <w:r>
              <w:rPr>
                <w:rFonts w:hint="eastAsia" w:ascii="仿宋" w:eastAsia="仿宋"/>
                <w:sz w:val="24"/>
                <w:szCs w:val="24"/>
              </w:rPr>
              <w:t>元</w:t>
            </w:r>
          </w:p>
        </w:tc>
      </w:tr>
    </w:tbl>
    <w:p/>
    <w:sectPr>
      <w:pgSz w:w="11907" w:h="16839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楷体_GB2312">
    <w:altName w:val="方正楷体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小标宋">
    <w:altName w:val="方正小标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楷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isplayBackgroundShape w:val="true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1"/>
  <w:characterSpacingControl w:val="compressPunctuation"/>
  <w:compat>
    <w:spaceForUL/>
    <w:balanceSingleByteDoubleByteWidth/>
    <w:ulTrailSpace/>
    <w:doNotExpandShiftReturn/>
    <w:adjustLineHeightInTable/>
    <w:useFELayout/>
    <w:useAltKinsokuLineBreakRules/>
    <w:compatSetting w:name="compatibilityMode" w:uri="http://schemas.microsoft.com/office/word" w:val="15"/>
  </w:compat>
  <w:rsids>
    <w:rsidRoot w:val="00000000"/>
    <w:rsid w:val="13FE3881"/>
    <w:rsid w:val="77FD5E85"/>
    <w:rsid w:val="CF496CD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7">
    <w:name w:val="Default Paragraph Font"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toc 2"/>
    <w:basedOn w:val="1"/>
    <w:next w:val="1"/>
    <w:qFormat/>
    <w:uiPriority w:val="0"/>
    <w:pPr>
      <w:ind w:left="420"/>
    </w:pPr>
  </w:style>
  <w:style w:type="paragraph" w:customStyle="1" w:styleId="8">
    <w:name w:val="列出段落2"/>
    <w:next w:val="5"/>
    <w:qFormat/>
    <w:uiPriority w:val="0"/>
    <w:pPr>
      <w:widowControl/>
      <w:ind w:firstLine="200" w:firstLineChars="200"/>
      <w:jc w:val="left"/>
    </w:pPr>
    <w:rPr>
      <w:rFonts w:ascii="宋体" w:hAnsi="Times New Roman" w:eastAsia="宋体" w:cs="宋体"/>
      <w:kern w:val="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1</Pages>
  <Words>872</Words>
  <Characters>1137</Characters>
  <Lines>87</Lines>
  <Paragraphs>64</Paragraphs>
  <TotalTime>1</TotalTime>
  <ScaleCrop>false</ScaleCrop>
  <LinksUpToDate>false</LinksUpToDate>
  <CharactersWithSpaces>1162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2021-08-25T08:50:00Z</dcterms:created>
  <dc:creator>test</dc:creator>
  <cp:lastModifiedBy>test</cp:lastModifiedBy>
  <cp:lastPrinted>2021-09-01T15:11:55Z</cp:lastPrinted>
  <dcterms:modified xsi:type="dcterms:W3CDTF">2021-09-01T15:12:00Z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</Properties>
</file>