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附件1</w:t>
      </w:r>
    </w:p>
    <w:p>
      <w:pPr>
        <w:pStyle w:val="6"/>
        <w:spacing w:before="0" w:after="0" w:line="0" w:lineRule="atLeast"/>
        <w:rPr>
          <w:rFonts w:hint="eastAsia" w:ascii="方正小标宋简体" w:hAnsi="宋体"/>
          <w:sz w:val="44"/>
          <w:szCs w:val="44"/>
          <w:lang w:val="en-US" w:eastAsia="zh-CN"/>
        </w:rPr>
      </w:pPr>
      <w:r>
        <w:rPr>
          <w:rFonts w:hint="eastAsia" w:ascii="方正小标宋简体" w:hAnsi="宋体"/>
          <w:sz w:val="44"/>
          <w:szCs w:val="44"/>
          <w:lang w:val="en-US" w:eastAsia="zh-CN"/>
        </w:rPr>
        <w:t>福州市市、县级应急管理政务服务事项基本目录</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30"/>
        <w:gridCol w:w="1710"/>
        <w:gridCol w:w="1710"/>
        <w:gridCol w:w="720"/>
        <w:gridCol w:w="6885"/>
        <w:gridCol w:w="12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事项序号</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行业分类</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主项名称</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子项名称</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事项类型</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设定依据</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行使层级</w:t>
            </w:r>
          </w:p>
        </w:tc>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（带储存批发、仓储）危险化学品经营许可证核发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储经营，下同）实行许可制度。未经许可，任何单位和个人不得经营危险化学品。</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2</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（带储存批发、仓储）危险化学品经营许可证延期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第三十三条第一款 国家对危险化学品经营（包括仓储经营，下同）实行许可制度。未经许可，任何单位和个人不得经营危险化学品。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市县通用目录事项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3</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（带储存批发、仓储）危险化学品经营许可证变更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第三十三条第一款 国家对危险化学品经营（包括仓储经营，下同）实行许可制度。未经许可，任何单位和个人不得经营危险化学品。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4</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（零售、贸易经营）危险化学品经营许可证核发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第三十三条第一款 国家对危险化学品经营（包括仓储经营，下同）实行许可制度。未经许可，任何单位和个人不得经营危险化学品。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5</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（零售、贸易经营）危险化学品经营许可证延期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第三十三条第一款 国家对危险化学品经营（包括仓储经营，下同）实行许可制度。未经许可，任何单位和个人不得经营危险化学品。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6</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（零售、贸易经营）危险化学品经营许可证变更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第三十三条第一款 国家对危险化学品经营（包括仓储经营，下同）实行许可制度。未经许可，任何单位和个人不得经营危险化学品。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第三十五条第一款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2.《危险化学品经营许可证管理办法》（2012年7月17日国家安全监管总局令第55号公布，根据2015年5月27日国家安全监管总局令第79号修正）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第五条第三、四款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7</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1.《危险化学品安全管理条例》（国务院令第591号）</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第二十九条第一款 使用危险化学品从事生产并且使用量达到规定数量的化工企业（属于危险化学品生产企业的除外，下同），应当依照本条例的规定取得危险化学品安全使用许可证。</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第三十一条第一款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2.《危险化学品安全使用许可证实施办法》（（2012年11月16日国家安全监管总局令第57号公布，根据2015年5月27日国家安全监管总局令第79号修正，根据2017年3月6日国家安全监管总局令第89号修正）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第五条第三款 设区的市级人民政府安全生产监督管理部门（以下简称发证机关）负责本行政区域内安全使用许可证的审批、颁发和管理，不得再委托其他单位、组织或者个人实施。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8</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1.《危险化学品安全管理条例》（国务院令第591号）</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第二十九条第一款 使用危险化学品从事生产并且使用量达到规定数量的化工企业（属于危险化学品生产企业的除外，下同），应当依照本条例的规定取得危险化学品安全使用许可证。</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第三十一条第一款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2.《危险化学品安全使用许可证实施办法》（2012年11月16日国家安全监管总局令第57号公布，根据2015年5月27日国家安全监管总局令第79号修正，根据2017年3月6日国家安全监管总局令第89号修正）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第五条第三款 设区的市级人民政府安全生产监督管理部门（以下简称发证机关）负责本行政区域内安全使用许可证的审批、颁发和管理，不得再委托其他单位、组织或者个人实施。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9</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危险化学品安全使用许可证变更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1.《危险化学品安全管理条例》（国务院令第591号）</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第二十九条第一款 使用危险化学品从事生产并且使用量达到规定数量的化工企业（属于危险化学品生产企业的除外，下同），应当依照本条例的规定取得危险化学品安全使用许可证。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第三十一条第一款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2.《危险化学品安全使用许可证实施办法》（2012年11月16日国家安全监管总局令第57号公布，根据2015年5月27日国家安全监管总局令第79号修正，根据2017年3月6日国家安全监管总局令第89号修正）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第五条第三款 设区的市级人民政府安全生产监督管理部门（以下简称发证机关）负责本行政区域内安全使用许可证的审批、颁发和管理，不得再委托其他单位、组织或者个人实施。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10</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危险化学品建设项目安全审查</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危险化学品建设项目安全条件审查</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1.《安全生产法》</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审查结果负责。</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2.《危险化学品安全管理条例》（国务院令第591号）</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第十二条第一款  新建、改建、扩建生产、储存危险化学品的建设项目，应当由安全生产监督管理部门进行安全条件审查。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3.《危险化学品建设项目安全监督管理办法》（2012年1月30日国家安全监管总局令第45号公布，根据2015年5月27日国家安全监管总局令第79号修正）</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第三条第一款 本办法所称建设项目安全审查，是指建设项目安全条件审查、安全设施的设计审查。建设项目的安全审查由建设单位申请，安全生产监督管理部门根据本办法分级负责实施。</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第四条 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spacing w:val="-5"/>
                <w:kern w:val="0"/>
                <w:sz w:val="18"/>
                <w:szCs w:val="18"/>
                <w:u w:val="none"/>
                <w:lang w:val="en-US" w:eastAsia="zh-CN" w:bidi="ar"/>
              </w:rPr>
              <w:t>第五条 建设项目有下列情形之一的，应当由省级安全生产监督管理部门负责安全审查：（一）国务院投资主管部门审批（核准、备案）的；（二）生产剧毒化学品的；（三）省级安全生产监督管理部门确定的本办法第四条第一款规定以外的其他建设项目。</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11</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危险化学品建设项目安全审查</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危险化学品建设项目安全设施设计审查</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审查结果负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第十二条第一款  新建、改建、扩建生产、储存危险化学品的建设项目，应当由安全生产监督管理部门进行安全条件审查。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3.《危险化学品建设项目安全监督管理办法》（2012年1月30日国家安全监管总局令第45号公布，根据2015年5月27日国家安全监管总局令第79号修正）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第三条第一款 本办法所称建设项目安全审查，是指建设项目安全条件审查、安全设施的设计审查。建设项目的安全审查由建设单位申请，安全生产监督管理部门根据本办法分级负责实施。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第四条 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建设项目有下列情形之一的，应当由省级安全生产监督管理部门负责安全审查：（一）国务院投资主管部门审批（核准、备案）的；（二）生产剧毒化学品的；（三）省级安全生产监督管理部门确定的本办法第四条第一款规定以外的其他建设项目。</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12</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非煤矿矿山建设项目安全设施设计审查</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1.《安全生产法》</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2.《建设项目安全设施“三同时”监督管理办法》（2010年12月14日国家安全监管总局令第36号公布，根据2015年4月2日国家安全监管总局令第77号修正）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 国家安全生产监督管理总局对全国建设项目安全设施“三同时”实施综合监督管理，并在国务院规定的职责范围内承担有关建设项目安全设施“三同时”的监督管理。                                                                          </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 </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跨两个及两个以上行政区域的建设项目安全设施“三同时”由其共同的上一级人民政府安全生产监督管理部门实施监督管理。</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上一级人民政府安全生产监督管理部门根据工作需要，可以将其负责监督管理的建设项目安全设施“三同时”工作委托下一级人民政府安全生产监督管理部门实施监督管理。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13</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1.《烟花爆竹安全管理条例》（国务院令第455号）</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第十九条第一款 申请从事烟花爆竹批发的企业，应当向所在地省、自治区、直辖市人民政府安全生产监督管理部门或者其委托的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2.《烟花爆竹经营许可实施办法》（国家安全监管总局令第65号）</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 设区的市级人民政府安全生产监督管理部门（以下简称市级安全监管局）根据省级安全监管局的批发企业布点规划和统一编号，负责本行政区域内烟花爆竹批发许可证的颁发和管理工作。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14</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1.《烟花爆竹安全管理条例》（国务院令第455号）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第十九条第一款 申请从事烟花爆竹批发的企业，应当向所在地省、自治区、直辖市人民政府安全生产监督管理部门或者其委托的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2.《烟花爆竹经营许可实施办法》（国家安全监管总局令第65号）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设区的市级人民政府安全生产监督管理部门（以下简称市级安全监管局）根据省级安全监管局的批发企业布点规划和统一编号，负责本行政区域内烟花爆竹批发许可证的颁发和管理工作。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15</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烟花爆竹经营(批发)许可证延期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1.《烟花爆竹安全管理条例》（国务院令第455号）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第十九条第一款 申请从事烟花爆竹批发的企业，应当向所在地省、自治区、直辖市人民政府安全生产监督管理部门或者其委托的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2.《烟花爆竹经营许可实施办法》（国家安全监管总局令第65号）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设区的市级人民政府安全生产监督管理部门（以下简称市级安全监管局）根据省级安全监管局的批发企业布点规划和统一编号，负责本行政区域内烟花爆竹批发许可证的颁发和管理工作。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16</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储存烟花爆竹建设项目安全设计审查</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2.《建设项目安全设施“三同时”监督管理办法》（（2010年12月14日国家安全监管总局令第36号公布，根据2015年4月2日国家安全监管总局令第77号修正））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国家安全生产监督管理总局对全国建设项目安全设施“三同时”实施综合监督管理，并在国务院规定的职责范围内承担有关建设项目安全设施“三同时”的监督管理。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跨两个及两个以上行政区域的建设项目安全设施“三同时”由其共同的上一级人民政府安全生产监督管理部门实施监督管理。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上一级人民政府安全生产监督管理部门根据工作需要，可以将其负责监督管理的建设项目安全设施“三同时”工作委托下一级人民政府安全生产监督管理部门实施监督管理。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3" w:hRule="atLeast"/>
        </w:trPr>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17</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危险化学品生产企业安全生产许可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危险化学品生产企业安全生产许可证核发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第三十六条  生产、经营、运输、储存、使用危险物品或者处置危险物品的，由有关主管部门依照有关法律、法规的规定和国家标准或者行业标准审批并实施监督管理。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3.《危险化学品安全管理条例》（国务院令第591号）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第十四条 危险化学品生产企业进行生产前，应当依照《安全生产许可证条例》的规定，取得危险化学品安全生产许可证。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4.《危险化学品生产企业安全生产许可证实施办法》（2011年8月5日国家安全监管总局令第41号公布，根据2015年5月27日国家安全监管总局令第79号修正，根据2017年3月6日国家安全监管总局令第89号修正）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省、自治区、直辖市安全生产监督管理部门（以下简称省级安全生产监督管理部门）负责本行政区域内中央企业及其直接控股涉及危险化学品生产的企业（总部）以外的企业安全生产许可证的颁发管理。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第六条第一款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3" w:hRule="atLeast"/>
        </w:trPr>
        <w:tc>
          <w:tcPr>
            <w:tcW w:w="646"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18</w:t>
            </w:r>
          </w:p>
        </w:tc>
        <w:tc>
          <w:tcPr>
            <w:tcW w:w="630" w:type="dxa"/>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危险化学品生产企业安全生产许可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危险化学品生产企业安全生产许可证变更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第三十六条  生产、经营、运输、储存、使用危险物品或者处置危险物品的，由有关主管部门依照有关法律、法规的规定和国家标准或者行业标准审批并实施监督管理。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3.《危险化学品安全管理条例》（国务院令第591号）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第十四条 危险化学品生产企业进行生产前，应当依照《安全生产许可证条例》的规定，取得危险化学品安全生产许可证。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4.《危险化学品生产企业安全生产许可证实施办法》（2011年8月5日国家安全监管总局令第41号公布，根据2015年5月27日国家安全监管总局令第79号修正，根据2017年3月6日国家安全监管总局令第89号修正）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省、自治区、直辖市安全生产监督管理部门（以下简称省级安全生产监督管理部门）负责本行政区域内中央企业及其直接控股涉及危险化学品生产的企业（总部）以外的企业安全生产许可证的颁发管理。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第六条第一款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8" w:hRule="atLeast"/>
        </w:trPr>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19</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危险化学品生产企业安全生产许可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危险化学品生产企业安全生产许可证延期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第三十六条  生产、经营、运输、储存、使用危险物品或者处置危险物品的，由有关主管部门依照有关法律、法规的规定和国家标准或者行业标准审批并实施监督管理。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3.《危险化学品安全管理条例》（国务院令第591号）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第十四条 危险化学品生产企业进行生产前，应当依照《安全生产许可证条例》的规定，取得危险化学品安全生产许可证。</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4.《危险化学品生产企业安全生产许可证实施办法》（2011年8月5日国家安全监管总局令第41号公布，根据2015年5月27日国家安全监管总局令第79号修正，根据2017年3月6日国家安全监管总局令第89号修正）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省、自治区、直辖市安全生产监督管理部门（以下简称省级安全生产监督管理部门）负责本行政区域内中央企业及其直接控股涉及危险化学品生产的企业（总部）以外的企业安全生产许可证的颁发管理。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第六条第一款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20</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非煤矿矿山企业安全生产许可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新建矿山生产系统（露天矿山、地下矿山、尾矿库）申请</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2.《非煤矿矿山企业安全生产许可证实施办法》（2009年6月8日国家安全监管总局令第20号公布，根据2015年5月26日国家安全监管总局令第78号修正）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第四条第二款 省、自治区、直辖市人民政府安全生产监督管理部门（以下简称省级安全生产许可证颁发管理机关）负责本行政区域内除本条第一款规定以外的非煤矿矿山企业安全生产许可证的颁发和管理。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21</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非煤矿矿山企业安全生产许可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已生成矿山生产系统（露天矿山、地下矿山、尾矿库延期）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2.《非煤矿矿山企业安全生产许可证实施办法》（2009年6月8日国家安全监管总局令第20号公布，根据2015年5月26日国家安全监管总局令第78号修正）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第四条第二款 省、自治区、直辖市人民政府安全生产监督管理部门（以下简称省级安全生产许可证颁发管理机关）负责本行政区域内除本条第一款规定以外的非煤矿矿山企业安全生产许可证的颁发和管理。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22</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非煤矿矿山企业安全生产许可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各类变更申请</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2.《非煤矿矿山企业安全生产许可证实施办法》（2009年6月8日国家安全监管总局令第20号公布，根据2015年5月26日国家安全监管总局令第78号修正）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第四条第二款 省、自治区、直辖市人民政府安全生产监督管理部门（以下简称省级安全生产许可证颁发管理机关）负责本行政区域内除本条第一款规定以外的非煤矿矿山企业安全生产许可证的颁发和管理。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23</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非煤矿矿山企业安全生产许可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总部管理型申请及延期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ind w:left="0" w:leftChars="0" w:right="0" w:rightChars="0"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1.《安全生产许可证条例》（国务院令第397号）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省、自治区、直辖市人民政府安全生产监督管理部门负责前款规定以外的非煤矿矿山企业和危险化学品、烟花爆竹生产企业安全生产许可证的颁发和管理，并接受国务院安全生产监督管理部门的指导和监督。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2.《非煤矿矿山企业安全生产许可证实施办法》（2009年6月8日国家安全监管总局令第20号公布，根据2015年5月26日国家安全监管总局令第78号修正）</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第四条第二款 省、自治区、直辖市人民政府安全生产监督管理部门（以下简称省级安全生产许可证颁发管理机关）负责本行政区域内除本条第一款规定以外的非煤矿矿山企业安全生产许可证的颁发和管理。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24</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ind w:left="0" w:leftChars="0" w:right="0" w:rightChars="0"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1.《易制毒化学品管理条例》（国务院令第445号）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25</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1.《易制毒化学品管理条例》（国务院令第445号）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26</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1.《易制毒化学品管理条例》（国务院令第445号）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27</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第一类非药品类易制毒化学品经营许可证核发</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1.《易制毒化学品管理条例》（国务院令第445号）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第三条第二款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28</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第一类非药品类易制毒化学品经营许可证变更</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1.《易制毒化学品管理条例》（国务院令第445号）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29</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第一类非药品类易制毒化学品生产经营许可</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第一类非药品类易制毒化学品经营许可证延期</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eastAsia" w:ascii="宋体" w:hAnsi="宋体" w:eastAsia="宋体" w:cs="宋体"/>
                <w:b w:val="0"/>
                <w:bCs/>
                <w:sz w:val="22"/>
                <w:szCs w:val="22"/>
                <w:vertAlign w:val="baseline"/>
                <w:lang w:eastAsia="zh-CN"/>
              </w:rPr>
            </w:pPr>
            <w:r>
              <w:rPr>
                <w:rFonts w:hint="eastAsia" w:ascii="宋体" w:hAnsi="宋体" w:eastAsia="宋体" w:cs="宋体"/>
                <w:b w:val="0"/>
                <w:bCs/>
                <w:i w:val="0"/>
                <w:color w:val="000000"/>
                <w:kern w:val="0"/>
                <w:sz w:val="22"/>
                <w:szCs w:val="22"/>
                <w:u w:val="none"/>
                <w:lang w:val="en-US" w:eastAsia="zh-CN" w:bidi="ar"/>
              </w:rPr>
              <w:t>1.《易制毒化学品管理条例》（国务院令第445号）</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第八条第一款  申请生产第一类中的药品类易制毒化学品的，由国务院药品监督管理部门审批；申请生产第一类中的非药品类易制毒化学品的，由省、自治区、直辖市人民政府安全生产监督管理部门审批。</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第十条第一款 申请经营第一类中的药品类易制毒化学品的，由国务院药品监督管理部门审批；申请经营第一类中的非药品类易制毒化学品的，由省、自治区、直辖市人民政府安全生产监督管理部门审批。</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2.《非药品类易制毒化学品生产、经营许可办法》(国家安全生产监督管理总局令第5号) </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第三条  省、自治区、直辖市人民政府安全生产监督管理部门负责本行政区域内第一类非药品类易制毒化学品生产、经营的审批和许可证的颁发工作。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30</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金属冶炼建设项目安全设施设计审查</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eastAsia" w:ascii="宋体" w:hAnsi="宋体" w:eastAsia="宋体" w:cs="宋体"/>
                <w:b w:val="0"/>
                <w:bCs/>
                <w:sz w:val="22"/>
                <w:szCs w:val="22"/>
                <w:vertAlign w:val="baseline"/>
                <w:lang w:eastAsia="zh-CN"/>
              </w:rPr>
            </w:pPr>
            <w:r>
              <w:rPr>
                <w:rFonts w:hint="eastAsia" w:ascii="宋体" w:hAnsi="宋体" w:eastAsia="宋体" w:cs="宋体"/>
                <w:b w:val="0"/>
                <w:bCs/>
                <w:i w:val="0"/>
                <w:color w:val="000000"/>
                <w:kern w:val="0"/>
                <w:sz w:val="22"/>
                <w:szCs w:val="22"/>
                <w:u w:val="none"/>
                <w:lang w:val="en-US" w:eastAsia="zh-CN" w:bidi="ar"/>
              </w:rPr>
              <w:t>1.《安全生产法》</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第三十条 建设项目安全设施的设计人、设计单位应当对安全设施设计负责。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矿山、金属冶炼建设项目和用于生产、储存、装卸危险物品的建设项目的安全设施设计应当按照国家有关规定报经有关部门审查，审查部门及其负责审查的人员对审查结果负责。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2.《建设项目安全设施“三同时”监督管理办法》（2010年12月14日国家安全监管总局令第36号公布，根据2015年4月2日国家安全监管总局令第77号修正）</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第五条 国家安全生产监督管理总局对全国建设项目安全设施“三同时”实施综合监督管理，并在国务院规定的职责范围内承担有关建设项目安全设施“三同时”的监督管理。  </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 </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跨两个及两个以上行政区域的建设项目安全设施“三同时”由其共同的上一级人民政府安全生产监督管理部门实施监督管理。</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 xml:space="preserve">    上一级人民政府安全生产监督管理部门根据工作需要，可以将其负责监督管理的建设项目安全设施“三同时”工作委托下一级人民政府安全生产监督管理部门实施监督管理。</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31</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烟花爆竹经营(零售)许可证</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行政许可</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1.《烟花爆竹安全管理条例》（国务院令第455号）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2.《烟花爆竹经营许可实施办法》（国家安全监管总局令第65号）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第五条 县级人民政府安全生产监督管理部门（以下简称县级安全监管局，与市级安全监管局统称发证机关）负责本行政区域内零售经营布点规划与零售许可证的颁发和管理工作。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32</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特种作业操作资格证核发</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特种作业人员操作资格认定</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第二十七条 生产经营单位的特种作业人员必须按照国家有关规定经专门的安全作业培训，取得相应资格，方可上岗作业。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2.《特种作业人员安全技术培训考核管理规定》（国家安全监管总局令第26号）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第七条　省、自治区、直辖市人民政府安全生产监督管理部门负责本行政区域特种作业人员的安全技术培训、考核、发证、复审工作。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33</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特种作业操作资格证核发</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特种作业人员操作资格证复审（换证）</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第二十七条 生产经营单位的特种作业人员必须按照国家有关规定经专门的安全作业培训，取得相应资格，方可上岗作业。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2.《特种作业人员安全技术培训考核管理规定》（国家安全监管总局令第26号）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第七条　省、自治区、直辖市人民政府安全生产监督管理部门负责本行政区域特种作业人员的安全技术培训、考核、发证、复审工作。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0" w:hRule="atLeast"/>
        </w:trPr>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34</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生产经营单位生产安全事故应急预案备案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《生产安全事故应急预案管理办法》（国家安全监管总局令第88号）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第二十六条 生产经营单位应当在应急预案公布之日起20个工作日内，按照分级属地原则，向安全生产监督管理部门和有关部门进行告知性备案。</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前款规定以外的非煤矿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油气输送管道运营单位的应急预案，除按照本条第一款、第二款的规定备案外，还应当抄送所跨行政区域的县级安全生产监督管理部门。</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煤矿企业的应急预案除按照本条第一款、第二款的规定备案外，还应当抄送所在地的煤矿安全监察机构。</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35</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非煤矿矿山、危险化学品、烟花爆竹等高危企业主要负责人、安全管理人员的安全生产知识及管理能力考核</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1.《安全生产法》</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2.《生产经营单位安全培训规定》（国家安全监管总局令第3号）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第二十四条  煤矿、非煤矿山、危险化学品、烟花爆竹、金属冶炼等生产经营单位主要负责人和安全生产管理人员，自任职之日起6个月内，必须经安全生产监管监察部门对其安全生产知识和管理能力考核合格。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第二十七条 安全生产监管监察部门对煤矿、非煤矿山、危险化学品、烟花爆竹、金属冶炼等生产经营单位的主要负责人、安全管理人员应当按照本规定严格考核。考核不得收费。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3.《安全生产培训管理办法》（国家安全监管总局令第44号）                    </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第二十条第二、三款 省级安全生产监督管理部门负责市级、县级安全生产监督管理部门的安全生产监管人员的考核；负责省属生产经营单位和中央企业分公司、子公司及其所属单位的主要负责人和安全生产管理人员的考核；负责特种作业人员的考核。</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市级安全生产监督管理部门负责本行政区域内除中央企业、省属生产经营单位以外的其他生产经营单位的主要负责人和安全生产管理人员的考核。</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36</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第二、三类易制毒化学品生产、经营备案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第二类易制毒化学品经营备案</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《非药品类易制毒化学品生产、经营许可办法》（国家安全监管总局令第5号）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国家对非药品类易制毒化学品的生产、经营实行许可制度。对第一类非药品类易制毒化学品的生产、经营实行许可证管理，对第二类、第三类易制毒化学品的生产、经营实行备案证明管理。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省、自治区、直辖市人民政府安全生产监督管理部门负责本行政区域内第一类非药品类易制毒化学品生产、经营的审批和许可证的颁发工作。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设区的市级人民政府安全生产监督管理部门负责本行政区域内第二类非药品类易制毒化学品生产、经营和第三类非药品类易制毒化学品生产的备案证明颁发工作。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县级人民政府安全生产监督管理部门负责本行政区域内第三类非药品类易制毒化学品经营的备案证明颁发工作。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37</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第二、三类易制毒化学品生产、经营备案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第二、三类易制毒化学品生产备案</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《非药品类易制毒化学品生产、经营许可办法》（国家安全监管总局令第5号）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国家对非药品类易制毒化学品的生产、经营实行许可制度。对第一类非药品类易制毒化学品的生产、经营实行许可证管理，对第二类、第三类易制毒化学品的生产、经营实行备案证明管理。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省、自治区、直辖市人民政府安全生产监督管理部门负责本行政区域内第一类非药品类易制毒化学品生产、经营的审批和许可证的颁发工作。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设区的市级人民政府安全生产监督管理部门负责本行政区域内第二类非药品类易制毒化学品生产、经营和第三类非药品类易制毒化学品生产的备案证明颁发工作。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县级人民政府安全生产监督管理部门负责本行政区域内第三类非药品类易制毒化学品经营的备案证明颁发工作。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市级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38</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第二、三类易制毒化学品生产、经营备案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第三类易制毒化学品经营备案</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《非药品类易制毒化学品生产、经营许可办法》（国家安全监管总局令第5号）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第三条　国家对非药品类易制毒化学品的生产、经营实行许可制度。对第一类非药品类易制毒化学品的生产、经营实行许可证管理，对第二类、第三类易制毒化学品的生产、经营实行备案证明管理。</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省、自治区、直辖市人民政府安全生产监督管理部门负责本行政区域内第一类非药品类易制毒化学品生产、经营的审批和许可证的颁发工作。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设区的市级人民政府安全生产监督管理部门负责本行政区域内第二类非药品类易制毒化学品生产、经营和第三类非药品类易制毒化学品生产的备案证明颁发工作。</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县级人民政府安全生产监督管理部门负责本行政区域内第三类非药品类易制毒化学品经营的备案证明颁发工作。</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39</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危险化学品重大危险源备案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《危险化学品重大危险源监督管理暂行规定》（国家安全监管总局第40号令）</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第二十三条　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40</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生产、储存危险化学品企业的安全评价报告以及整改方案落实情况的备案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《危险化学品安全管理条例》（国务院令第645号）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41</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生产、储存危险化学品单位的转产、停产、停业或者解散的处置方案的备案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42</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危险化学品重大危险源核销</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《危险化学品重大危险源监督管理暂行规定》（国家安全监管总局第40号令）</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第二十七条第一款 重大危险源经过安全评价或者安全评估不再构成重大危险源的，危险化学品单位应当向所在地县级人民政府安全生产监督管理部门申请核销。</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96" w:leftChars="-30" w:right="-96" w:rightChars="-30" w:firstLine="0" w:firstLineChars="0"/>
              <w:jc w:val="center"/>
              <w:textAlignment w:val="center"/>
              <w:outlineLvl w:val="9"/>
              <w:rPr>
                <w:rFonts w:hint="eastAsia" w:ascii="宋体" w:hAnsi="宋体" w:eastAsia="宋体" w:cs="宋体"/>
                <w:b w:val="0"/>
                <w:bCs/>
                <w:color w:val="auto"/>
                <w:sz w:val="24"/>
                <w:szCs w:val="24"/>
                <w:shd w:val="clear" w:color="auto" w:fill="auto"/>
                <w:vertAlign w:val="baseline"/>
                <w:lang w:eastAsia="zh-CN"/>
              </w:rPr>
            </w:pPr>
            <w:r>
              <w:rPr>
                <w:rFonts w:hint="eastAsia" w:ascii="宋体" w:hAnsi="宋体" w:eastAsia="宋体" w:cs="宋体"/>
                <w:b w:val="0"/>
                <w:bCs/>
                <w:i w:val="0"/>
                <w:color w:val="auto"/>
                <w:kern w:val="0"/>
                <w:sz w:val="24"/>
                <w:szCs w:val="24"/>
                <w:u w:val="none"/>
                <w:shd w:val="clear" w:color="auto" w:fill="auto"/>
                <w:lang w:val="en-US" w:eastAsia="zh-CN" w:bidi="ar"/>
              </w:rPr>
              <w:t>43</w:t>
            </w:r>
          </w:p>
        </w:tc>
        <w:tc>
          <w:tcPr>
            <w:tcW w:w="630" w:type="dxa"/>
            <w:shd w:val="clear" w:color="auto" w:fill="FFFFFF" w:themeFill="background1"/>
            <w:vAlign w:val="center"/>
          </w:tcPr>
          <w:p>
            <w:pPr>
              <w:pStyle w:val="3"/>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9"/>
              <w:rPr>
                <w:rFonts w:hint="eastAsia" w:ascii="宋体" w:hAnsi="宋体" w:eastAsia="宋体" w:cs="宋体"/>
                <w:b w:val="0"/>
                <w:bCs/>
                <w:i w:val="0"/>
                <w:color w:val="auto"/>
                <w:kern w:val="0"/>
                <w:sz w:val="24"/>
                <w:szCs w:val="24"/>
                <w:u w:val="none"/>
                <w:shd w:val="clear" w:color="auto" w:fill="auto"/>
                <w:lang w:val="en-US" w:eastAsia="zh-CN" w:bidi="ar"/>
              </w:rPr>
            </w:pPr>
            <w:r>
              <w:rPr>
                <w:rFonts w:hint="eastAsia" w:ascii="宋体" w:hAnsi="宋体" w:eastAsia="宋体" w:cs="宋体"/>
                <w:b w:val="0"/>
                <w:bCs/>
                <w:i w:val="0"/>
                <w:color w:val="auto"/>
                <w:kern w:val="0"/>
                <w:sz w:val="24"/>
                <w:szCs w:val="24"/>
                <w:u w:val="none"/>
                <w:shd w:val="clear" w:color="auto" w:fill="auto"/>
                <w:lang w:val="en-US" w:eastAsia="zh-CN" w:bidi="ar"/>
              </w:rPr>
              <w:t>应急管理</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剧毒化学品、重大危险源储存单位备案</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无</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公共服务</w:t>
            </w:r>
          </w:p>
        </w:tc>
        <w:tc>
          <w:tcPr>
            <w:tcW w:w="688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both"/>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《危险化学品安全管理条例》（国务院令第591号）</w:t>
            </w:r>
            <w:r>
              <w:rPr>
                <w:rFonts w:hint="eastAsia" w:ascii="宋体" w:hAnsi="宋体" w:eastAsia="宋体" w:cs="宋体"/>
                <w:b w:val="0"/>
                <w:bCs/>
                <w:i w:val="0"/>
                <w:color w:val="000000"/>
                <w:kern w:val="0"/>
                <w:sz w:val="24"/>
                <w:szCs w:val="24"/>
                <w:u w:val="none"/>
                <w:lang w:val="en-US" w:eastAsia="zh-CN" w:bidi="ar"/>
              </w:rPr>
              <w:br w:type="textWrapping"/>
            </w:r>
            <w:r>
              <w:rPr>
                <w:rFonts w:hint="eastAsia" w:ascii="宋体" w:hAnsi="宋体" w:eastAsia="宋体" w:cs="宋体"/>
                <w:b w:val="0"/>
                <w:bCs/>
                <w:i w:val="0"/>
                <w:color w:val="000000"/>
                <w:kern w:val="0"/>
                <w:sz w:val="24"/>
                <w:szCs w:val="24"/>
                <w:u w:val="none"/>
                <w:lang w:val="en-US" w:eastAsia="zh-CN" w:bidi="ar"/>
              </w:rPr>
              <w:t xml:space="preserve">    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outlineLvl w:val="9"/>
              <w:rPr>
                <w:rFonts w:hint="eastAsia" w:ascii="宋体" w:hAnsi="宋体" w:eastAsia="宋体" w:cs="宋体"/>
                <w:b w:val="0"/>
                <w:bCs/>
                <w:sz w:val="24"/>
                <w:szCs w:val="24"/>
                <w:vertAlign w:val="baseline"/>
                <w:lang w:eastAsia="zh-CN"/>
              </w:rPr>
            </w:pPr>
            <w:r>
              <w:rPr>
                <w:rFonts w:hint="eastAsia" w:ascii="宋体" w:hAnsi="宋体" w:eastAsia="宋体" w:cs="宋体"/>
                <w:b w:val="0"/>
                <w:bCs/>
                <w:i w:val="0"/>
                <w:color w:val="000000"/>
                <w:kern w:val="0"/>
                <w:sz w:val="24"/>
                <w:szCs w:val="24"/>
                <w:u w:val="none"/>
                <w:lang w:val="en-US" w:eastAsia="zh-CN" w:bidi="ar"/>
              </w:rPr>
              <w:t>县级</w:t>
            </w:r>
          </w:p>
        </w:tc>
        <w:tc>
          <w:tcPr>
            <w:tcW w:w="719" w:type="dxa"/>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outlineLvl w:val="9"/>
              <w:rPr>
                <w:rFonts w:hint="eastAsia" w:ascii="宋体" w:hAnsi="宋体" w:eastAsia="宋体" w:cs="宋体"/>
                <w:b w:val="0"/>
                <w:bCs/>
                <w:sz w:val="24"/>
                <w:szCs w:val="24"/>
                <w:vertAlign w:val="baseline"/>
                <w:lang w:eastAsia="zh-CN"/>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eastAsia="方正仿宋简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eastAsia="方正仿宋简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eastAsia="方正仿宋简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简体" w:eastAsia="方正仿宋简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附件2</w:t>
      </w:r>
    </w:p>
    <w:p>
      <w:pPr>
        <w:pStyle w:val="6"/>
        <w:spacing w:before="0" w:after="0" w:line="0" w:lineRule="atLeast"/>
        <w:rPr>
          <w:rFonts w:hint="eastAsia" w:ascii="方正小标宋简体" w:hAnsi="宋体"/>
          <w:sz w:val="44"/>
          <w:szCs w:val="44"/>
          <w:lang w:val="en-US" w:eastAsia="zh-CN"/>
        </w:rPr>
      </w:pPr>
      <w:r>
        <w:rPr>
          <w:rFonts w:hint="eastAsia" w:ascii="方正小标宋简体" w:hAnsi="宋体"/>
          <w:sz w:val="44"/>
          <w:szCs w:val="44"/>
          <w:lang w:val="en-US" w:eastAsia="zh-CN"/>
        </w:rPr>
        <w:t>福州市市、县级应急管理政务服务事项实施权限情况表</w:t>
      </w:r>
    </w:p>
    <w:p>
      <w:pPr>
        <w:pStyle w:val="6"/>
        <w:spacing w:before="0" w:after="0" w:line="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系统牵头单位名称：福州市应急管理局</w:t>
      </w:r>
    </w:p>
    <w:p>
      <w:pPr>
        <w:pStyle w:val="6"/>
        <w:spacing w:before="0" w:after="0" w:line="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系统牵头单位统一社会信用代码：11350100MB19365563</w:t>
      </w:r>
    </w:p>
    <w:tbl>
      <w:tblPr>
        <w:tblStyle w:val="9"/>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65"/>
        <w:gridCol w:w="645"/>
        <w:gridCol w:w="814"/>
        <w:gridCol w:w="814"/>
        <w:gridCol w:w="814"/>
        <w:gridCol w:w="814"/>
        <w:gridCol w:w="814"/>
        <w:gridCol w:w="814"/>
        <w:gridCol w:w="814"/>
        <w:gridCol w:w="814"/>
        <w:gridCol w:w="814"/>
        <w:gridCol w:w="814"/>
        <w:gridCol w:w="814"/>
        <w:gridCol w:w="814"/>
        <w:gridCol w:w="814"/>
        <w:gridCol w:w="818"/>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6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主项</w:t>
            </w:r>
          </w:p>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名称</w:t>
            </w:r>
          </w:p>
        </w:tc>
        <w:tc>
          <w:tcPr>
            <w:tcW w:w="106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子项名称</w:t>
            </w:r>
          </w:p>
        </w:tc>
        <w:tc>
          <w:tcPr>
            <w:tcW w:w="64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办理项名称</w:t>
            </w:r>
          </w:p>
        </w:tc>
        <w:tc>
          <w:tcPr>
            <w:tcW w:w="11400" w:type="dxa"/>
            <w:gridSpan w:val="14"/>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市、县（市）区实施权限</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7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10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（带储存批发、仓储）危险化学品经营许可证核发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（带储存批发、仓储）危险化学品经营许可证延期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（带储存批发、仓储）危险化学品经营许可证变更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（零售、贸易经营）危险化学品经营许可证核发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（零售、贸易经营）危险化学品经营许可证延期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（零售、贸易经营）危险化学品经营许可证变更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危险化学品安全使用许可证变更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危险化学品建设项目安全审查</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危险化学品建设项目安全条件审查</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危险化学品建设项目安全审查</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危险化学品建设项目安全设施设计审查</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非煤矿矿山建设项目安全设施设计审查</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烟花爆竹经营(批发)许可证延期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储存烟花爆竹建设项目安全设计审查</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危险化学品生产企业安全生产许可证延期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新建矿山生产系统（露天矿山、地下矿山、尾矿库）申请</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90"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已生成矿山生产系统（露天矿山、地下矿山、尾矿库延期）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各类变更申请</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非煤矿矿山企业安全生产许可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总部管理型申请及延期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第一类非药品类易制毒化学品经营许可证核发</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第一类非药品类易制毒化学品经营许可证变更</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第一类非药品类易制毒化学品生产经营许可</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第一类非药品类易制毒化学品经营许可证延期</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金属冶炼建设项目安全设施设计审查</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烟花爆竹经营(零售)许可证</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特种作业操作资格证核发</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特种作业人员操作资格认定</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246" w:lineRule="exac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特种作业操作资格证核发</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特种作业人员操作资格证复审（换证）</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生产经营单位生产安全事故应急预案备案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非煤矿矿山、危险化学品、烟花爆竹等高危企业主要负责人、安全管理人员的安全生产知识及管理能力考核</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第二、三类易制毒化学品生产、经营备案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第二类易制毒化学品经营备案</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第二、三类易制毒化学品生产、经营备案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第二、三类易制毒化学品生产备案</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福州市应急管理局11350100MB19365563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第二、三类易制毒化学品生产、经营备案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第三类易制毒化学品经营备案</w:t>
            </w: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危险化学品重大危险源备案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生产、储存危险化学品企业的安全评价报告以及整改方案落实情况的备案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生产、储存危险化学品单位的转产、停产、停业或者解散的处置方案的备案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危险化学品重大危险源核销</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剧毒化学品、重大危险源储存单位备案</w:t>
            </w:r>
          </w:p>
        </w:tc>
        <w:tc>
          <w:tcPr>
            <w:tcW w:w="106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645"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鼓楼区应急管理局11350102MB19001315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晋安区应急管理局11350111746388830L</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台江区应急管理局11350103MB1501587Y</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仓山区应急管理局11350104MB1902057F</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马尾区应急管理局11350105MB1646305P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长乐区应急管理局11350182MB1896910P</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福清市应急管理局11350181MB16742855</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闽侯县应急管理局11350121MH1665151J</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连江县应急管理局11350122MB1573855U</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罗源县应急管理局113501237438112930</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永泰县应急管理局11350125MB19370653</w:t>
            </w:r>
          </w:p>
        </w:tc>
        <w:tc>
          <w:tcPr>
            <w:tcW w:w="814"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闽清县应急管理局11350124MB1896742M</w:t>
            </w:r>
          </w:p>
        </w:tc>
        <w:tc>
          <w:tcPr>
            <w:tcW w:w="818"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高新区经济发展局11350100MB05659178</w:t>
            </w:r>
          </w:p>
        </w:tc>
        <w:tc>
          <w:tcPr>
            <w:tcW w:w="450" w:type="dxa"/>
            <w:vAlign w:val="center"/>
          </w:tcPr>
          <w:p>
            <w:pPr>
              <w:pStyle w:val="6"/>
              <w:keepNext w:val="0"/>
              <w:keepLines w:val="0"/>
              <w:pageBreakBefore w:val="0"/>
              <w:widowControl w:val="0"/>
              <w:kinsoku/>
              <w:wordWrap/>
              <w:overflowPunct/>
              <w:topLinePunct w:val="0"/>
              <w:autoSpaceDE/>
              <w:autoSpaceDN/>
              <w:bidi w:val="0"/>
              <w:adjustRightInd/>
              <w:snapToGrid/>
              <w:spacing w:line="0" w:lineRule="atLeast"/>
              <w:ind w:left="-96" w:leftChars="-30" w:right="-96" w:rightChars="-30" w:firstLine="0" w:firstLineChars="0"/>
              <w:jc w:val="center"/>
              <w:textAlignment w:val="auto"/>
              <w:outlineLvl w:val="0"/>
              <w:rPr>
                <w:rFonts w:hint="eastAsia" w:ascii="宋体" w:hAnsi="宋体" w:eastAsia="宋体" w:cs="宋体"/>
                <w:sz w:val="18"/>
                <w:szCs w:val="18"/>
                <w:lang w:val="en-US" w:eastAsia="zh-CN"/>
              </w:rPr>
            </w:pPr>
          </w:p>
        </w:tc>
      </w:tr>
    </w:tbl>
    <w:p>
      <w:bookmarkStart w:id="0" w:name="_GoBack"/>
      <w:bookmarkEnd w:id="0"/>
    </w:p>
    <w:sectPr>
      <w:pgSz w:w="16838" w:h="11906" w:orient="landscape"/>
      <w:pgMar w:top="1587" w:right="1984" w:bottom="1474" w:left="2041" w:header="851" w:footer="992" w:gutter="0"/>
      <w:paperSrc/>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45812"/>
    <w:rsid w:val="30A45812"/>
    <w:rsid w:val="49E04A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uiPriority w:val="0"/>
    <w:pPr>
      <w:ind w:firstLine="420" w:firstLineChars="200"/>
    </w:pPr>
    <w:rPr>
      <w:rFonts w:ascii="仿宋_GB2312" w:eastAsia="仿宋_GB2312"/>
      <w:sz w:val="32"/>
      <w:szCs w:val="20"/>
    </w:rPr>
  </w:style>
  <w:style w:type="paragraph" w:styleId="3">
    <w:name w:val="Plain Text"/>
    <w:basedOn w:val="1"/>
    <w:uiPriority w:val="0"/>
    <w:rPr>
      <w:rFonts w:ascii="宋体" w:hAnsi="Courier New" w:cs="Courier New"/>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jc w:val="center"/>
      <w:outlineLvl w:val="0"/>
    </w:pPr>
    <w:rPr>
      <w:rFonts w:ascii="Cambria" w:hAnsi="Cambria" w:eastAsia="方正小标宋简体"/>
      <w:bCs/>
      <w:sz w:val="36"/>
      <w:szCs w:val="32"/>
    </w:rPr>
  </w:style>
  <w:style w:type="table" w:styleId="9">
    <w:name w:val="Table Grid"/>
    <w:basedOn w:val="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2019-09-30T09:13:00Z</dcterms:created>
  <dc:creator>lincan</dc:creator>
  <cp:lastModifiedBy>lincan</cp:lastModifiedBy>
  <dcterms:modified xsi:type="dcterms:W3CDTF">2019-09-30T09:15:11Z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