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hint="eastAsia" w:ascii="华文中宋" w:hAnsi="华文中宋" w:eastAsia="华文中宋" w:cs="黑体"/>
          <w:b/>
          <w:sz w:val="44"/>
          <w:szCs w:val="44"/>
        </w:rPr>
        <w:t>安全生产行政执法文书</w:t>
      </w:r>
    </w:p>
    <w:p>
      <w:pPr>
        <w:spacing w:line="560" w:lineRule="exact"/>
        <w:jc w:val="center"/>
        <w:rPr>
          <w:rFonts w:ascii="华文中宋" w:hAnsi="华文中宋" w:eastAsia="华文中宋" w:cs="黑体"/>
          <w:b/>
          <w:sz w:val="44"/>
          <w:szCs w:val="44"/>
        </w:rPr>
      </w:pPr>
      <w:r>
        <w:rPr>
          <w:rFonts w:ascii="华文中宋" w:hAnsi="华文中宋" w:eastAsia="华文中宋" w:cs="黑体"/>
          <w:b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0"/>
                <wp:effectExtent l="0" t="19050" r="0" b="19050"/>
                <wp:wrapNone/>
                <wp:docPr id="1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38100" cap="flat" cmpd="dbl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2" o:spid="_x0000_s1026" o:spt="20" style="position:absolute;left:0pt;flip:y;margin-left:0pt;margin-top:0pt;height:0pt;width:441pt;z-index:251659264;mso-width-relative:page;mso-height-relative:page;" filled="f" stroked="t" coordsize="21600,21600" o:allowincell="f" o:gfxdata="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oTex380AAAACAQAADwAAAAAAAAABACAAAAAiAAAAZHJzL2Rvd25yZXYueG1sUEsB&#10;AhQAFAAAAAgAh07iQGXCpWcAAgAA+gMAAA4AAAAAAAAAAQAgAAAAHAEAAGRycy9lMm9Eb2MueG1s&#10;UEsFBgAAAAAGAAYAWQEAAI4FAAAAAA==&#10;">
                <v:fill on="f" focussize="0,0"/>
                <v:stroke weight="3pt" color="#000000" linestyle="thi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 w:cs="黑体"/>
          <w:b/>
          <w:sz w:val="44"/>
          <w:szCs w:val="44"/>
        </w:rPr>
        <w:t>行政处罚决定书</w:t>
      </w:r>
    </w:p>
    <w:p>
      <w:pPr>
        <w:spacing w:line="600" w:lineRule="exact"/>
        <w:jc w:val="center"/>
        <w:rPr>
          <w:rFonts w:ascii="仿宋_GB2312" w:hAnsi="仿宋" w:eastAsia="仿宋_GB2312" w:cs="Calibri"/>
          <w:sz w:val="24"/>
          <w:szCs w:val="24"/>
        </w:rPr>
      </w:pPr>
      <w:r>
        <w:rPr>
          <w:rFonts w:hint="eastAsia" w:ascii="仿宋_GB2312" w:hAnsi="仿宋" w:eastAsia="仿宋_GB2312" w:cs="Calibri"/>
          <w:sz w:val="24"/>
          <w:szCs w:val="24"/>
        </w:rPr>
        <w:t>（</w:t>
      </w:r>
      <w:r>
        <w:rPr>
          <w:rFonts w:hint="eastAsia" w:ascii="仿宋_GB2312" w:hAnsi="仿宋" w:eastAsia="仿宋_GB2312" w:cs="Calibri"/>
          <w:sz w:val="24"/>
          <w:szCs w:val="24"/>
          <w:lang w:eastAsia="zh-CN"/>
        </w:rPr>
        <w:t>樟</w:t>
      </w:r>
      <w:r>
        <w:rPr>
          <w:rFonts w:hint="eastAsia" w:ascii="仿宋_GB2312" w:hAnsi="仿宋" w:eastAsia="仿宋_GB2312" w:cs="Calibri"/>
          <w:sz w:val="24"/>
          <w:szCs w:val="24"/>
        </w:rPr>
        <w:t>）应急罚〔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2023</w:t>
      </w:r>
      <w:r>
        <w:rPr>
          <w:rFonts w:hint="eastAsia" w:ascii="仿宋_GB2312" w:hAnsi="仿宋" w:eastAsia="仿宋_GB2312" w:cs="Calibri"/>
          <w:sz w:val="24"/>
          <w:szCs w:val="24"/>
        </w:rPr>
        <w:t>〕</w:t>
      </w:r>
      <w:r>
        <w:rPr>
          <w:rFonts w:hint="eastAsia" w:ascii="仿宋_GB2312" w:hAnsi="仿宋" w:eastAsia="仿宋_GB2312" w:cs="Calibri"/>
          <w:sz w:val="24"/>
          <w:szCs w:val="24"/>
          <w:lang w:val="en-US" w:eastAsia="zh-CN"/>
        </w:rPr>
        <w:t>15</w:t>
      </w:r>
      <w:r>
        <w:rPr>
          <w:rFonts w:hint="eastAsia" w:ascii="仿宋_GB2312" w:hAnsi="仿宋" w:eastAsia="仿宋_GB2312" w:cs="Calibri"/>
          <w:sz w:val="24"/>
          <w:szCs w:val="24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" w:eastAsia="仿宋_GB2312" w:cs="Calibri"/>
          <w:sz w:val="21"/>
          <w:szCs w:val="21"/>
          <w:u w:val="single"/>
        </w:rPr>
      </w:pPr>
      <w:r>
        <w:rPr>
          <w:rFonts w:hint="eastAsia" w:ascii="仿宋_GB2312" w:hAnsi="仿宋" w:eastAsia="仿宋_GB2312" w:cs="Calibri"/>
          <w:sz w:val="21"/>
          <w:szCs w:val="21"/>
        </w:rPr>
        <w:t>被处罚单位：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 xml:space="preserve"> 福建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XXXX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>有限公司 （统一社会信用代码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val="en-US" w:eastAsia="zh-CN"/>
        </w:rPr>
        <w:t>91XXXXXXXXXX6</w:t>
      </w:r>
      <w:r>
        <w:rPr>
          <w:rFonts w:hint="eastAsia" w:ascii="仿宋_GB2312" w:hAnsi="仿宋" w:eastAsia="仿宋_GB2312" w:cs="仿宋"/>
          <w:sz w:val="24"/>
          <w:szCs w:val="24"/>
          <w:u w:val="single"/>
          <w:lang w:eastAsia="zh-CN"/>
        </w:rPr>
        <w:t xml:space="preserve">） 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 w:cs="Calibri"/>
          <w:sz w:val="21"/>
          <w:szCs w:val="21"/>
          <w:u w:val="single"/>
        </w:rPr>
      </w:pPr>
      <w:r>
        <w:rPr>
          <w:rFonts w:hint="eastAsia" w:ascii="仿宋_GB2312" w:hAnsi="仿宋" w:eastAsia="仿宋_GB2312" w:cs="Calibri"/>
          <w:sz w:val="21"/>
          <w:szCs w:val="21"/>
        </w:rPr>
        <w:t>地址：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 xml:space="preserve"> 福建省福州市永泰县XX镇XX区XX路XX号            </w:t>
      </w:r>
      <w:r>
        <w:rPr>
          <w:rFonts w:hint="eastAsia" w:ascii="仿宋_GB2312" w:hAnsi="仿宋" w:eastAsia="仿宋_GB2312" w:cs="宋体"/>
          <w:color w:val="121212"/>
          <w:kern w:val="0"/>
          <w:sz w:val="21"/>
          <w:szCs w:val="21"/>
          <w:u w:val="single"/>
        </w:rPr>
        <w:t xml:space="preserve">                     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" w:eastAsia="仿宋_GB2312" w:cs="Calibri"/>
          <w:sz w:val="21"/>
          <w:szCs w:val="21"/>
          <w:u w:val="single"/>
        </w:rPr>
      </w:pPr>
      <w:r>
        <w:rPr>
          <w:rFonts w:hint="eastAsia" w:ascii="仿宋_GB2312" w:hAnsi="仿宋" w:eastAsia="仿宋_GB2312" w:cs="Calibri"/>
          <w:sz w:val="21"/>
          <w:szCs w:val="21"/>
        </w:rPr>
        <w:t>邮政编码：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121212"/>
          <w:kern w:val="0"/>
          <w:sz w:val="21"/>
          <w:szCs w:val="21"/>
          <w:u w:val="single"/>
          <w:lang w:val="en-US" w:eastAsia="zh-CN"/>
        </w:rPr>
        <w:t>350700</w:t>
      </w:r>
      <w:r>
        <w:rPr>
          <w:rFonts w:hint="eastAsia" w:ascii="仿宋_GB2312" w:hAnsi="仿宋" w:eastAsia="仿宋_GB2312" w:cs="宋体"/>
          <w:color w:val="121212"/>
          <w:kern w:val="0"/>
          <w:sz w:val="21"/>
          <w:szCs w:val="21"/>
          <w:u w:val="single"/>
        </w:rPr>
        <w:t xml:space="preserve">       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ascii="仿宋_GB2312" w:hAnsi="仿宋" w:eastAsia="仿宋_GB2312" w:cs="Calibri"/>
          <w:sz w:val="21"/>
          <w:szCs w:val="21"/>
          <w:u w:val="single"/>
        </w:rPr>
      </w:pPr>
      <w:r>
        <w:rPr>
          <w:rFonts w:hint="eastAsia" w:ascii="仿宋_GB2312" w:hAnsi="仿宋" w:eastAsia="仿宋_GB2312" w:cs="Calibri"/>
          <w:sz w:val="21"/>
          <w:szCs w:val="21"/>
        </w:rPr>
        <w:t>法定代表人（负责人）：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程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>X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  </w:t>
      </w:r>
      <w:r>
        <w:rPr>
          <w:rFonts w:hint="eastAsia" w:ascii="仿宋_GB2312" w:hAnsi="仿宋" w:eastAsia="仿宋_GB2312" w:cs="Calibri"/>
          <w:sz w:val="21"/>
          <w:szCs w:val="21"/>
        </w:rPr>
        <w:t>职务：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法定代表人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 </w:t>
      </w:r>
      <w:r>
        <w:rPr>
          <w:rFonts w:hint="eastAsia" w:ascii="仿宋_GB2312" w:hAnsi="仿宋" w:eastAsia="仿宋_GB2312" w:cs="Calibri"/>
          <w:sz w:val="21"/>
          <w:szCs w:val="21"/>
        </w:rPr>
        <w:t>联系电话：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kern w:val="0"/>
          <w:sz w:val="24"/>
          <w:szCs w:val="24"/>
          <w:highlight w:val="none"/>
          <w:u w:val="single"/>
          <w:lang w:val="en-US" w:eastAsia="zh-CN"/>
        </w:rPr>
        <w:t>1XXXXXXXXXX9</w:t>
      </w:r>
      <w:r>
        <w:rPr>
          <w:rFonts w:hint="eastAsia" w:ascii="仿宋_GB2312" w:hAnsi="仿宋" w:eastAsia="仿宋_GB2312" w:cs="宋体"/>
          <w:color w:val="121212"/>
          <w:kern w:val="0"/>
          <w:sz w:val="21"/>
          <w:szCs w:val="21"/>
          <w:u w:val="single"/>
        </w:rPr>
        <w:t xml:space="preserve">      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 w:cs="Calibri"/>
          <w:sz w:val="21"/>
          <w:szCs w:val="21"/>
          <w:highlight w:val="yellow"/>
        </w:rPr>
      </w:pPr>
      <w:r>
        <w:rPr>
          <w:rFonts w:hint="eastAsia" w:ascii="仿宋_GB2312" w:hAnsi="仿宋" w:eastAsia="仿宋_GB2312" w:cs="Calibri"/>
          <w:sz w:val="21"/>
          <w:szCs w:val="21"/>
        </w:rPr>
        <w:t>违法事实及证据：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</w:rPr>
        <w:t>20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val="en-US" w:eastAsia="zh-CN"/>
        </w:rPr>
        <w:t>23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</w:rPr>
        <w:t>年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val="en-US" w:eastAsia="zh-CN"/>
        </w:rPr>
        <w:t>5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</w:rPr>
        <w:t>月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val="en-US" w:eastAsia="zh-CN"/>
        </w:rPr>
        <w:t>11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</w:rPr>
        <w:t>日，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eastAsia="zh-CN"/>
        </w:rPr>
        <w:t>我局执法人员对福建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val="en-US" w:eastAsia="zh-CN"/>
        </w:rPr>
        <w:t>XXX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eastAsia="zh-CN"/>
        </w:rPr>
        <w:t>有限公司进行执法检查时，发现你公司动火作业时未安排专门人员进行现场安全管理情况。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lang w:val="en-US" w:eastAsia="zh-CN"/>
        </w:rPr>
        <w:t xml:space="preserve">          </w:t>
      </w:r>
      <w:r>
        <w:rPr>
          <w:rFonts w:hint="eastAsia" w:ascii="仿宋_GB2312" w:hAnsi="仿宋" w:eastAsia="仿宋_GB2312" w:cs="Calibri"/>
          <w:sz w:val="21"/>
          <w:szCs w:val="21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_GB2312" w:hAnsi="仿宋" w:eastAsia="仿宋_GB2312" w:cs="Calibri"/>
          <w:sz w:val="21"/>
          <w:szCs w:val="21"/>
          <w:u w:val="single"/>
        </w:rPr>
      </w:pP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val="en-US" w:eastAsia="zh-CN"/>
        </w:rPr>
        <w:t>以上事实主要证据如下：</w:t>
      </w:r>
      <w:bookmarkStart w:id="0" w:name="OLE_LINK4"/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val="en-US" w:eastAsia="zh-CN"/>
        </w:rPr>
        <w:t>证据一：《现场检查记录》［(樟)应急现记〔2023〕执6号］，证明2023年5月11日，本机关执法人员执法检查时发现你公司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eastAsia="zh-CN"/>
        </w:rPr>
        <w:t>动火作业时未安排专门人员进行现场安全管理情况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>。证据二：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val="en-US" w:eastAsia="zh-CN"/>
        </w:rPr>
        <w:t>张XX、周XX</w:t>
      </w:r>
      <w:bookmarkStart w:id="2" w:name="_GoBack"/>
      <w:bookmarkEnd w:id="2"/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>《调查询问笔录》各1份，</w:t>
      </w:r>
      <w:bookmarkStart w:id="1" w:name="OLE_LINK2"/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>进一步证明</w:t>
      </w:r>
      <w:bookmarkEnd w:id="0"/>
      <w:bookmarkEnd w:id="1"/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>你公司</w:t>
      </w:r>
      <w:r>
        <w:rPr>
          <w:rFonts w:hint="eastAsia" w:ascii="仿宋_GB2312" w:hAnsi="仿宋" w:eastAsia="仿宋_GB2312" w:cs="Calibri"/>
          <w:sz w:val="21"/>
          <w:szCs w:val="21"/>
          <w:highlight w:val="none"/>
          <w:u w:val="single"/>
          <w:lang w:eastAsia="zh-CN"/>
        </w:rPr>
        <w:t>动火作业时未安排专门人员进行现场安全管理情况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 xml:space="preserve">。  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  （此栏不够，可另附页）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仿宋_GB2312" w:hAnsi="仿宋" w:eastAsia="仿宋_GB2312" w:cs="Calibri"/>
          <w:sz w:val="21"/>
          <w:szCs w:val="21"/>
        </w:rPr>
      </w:pPr>
      <w:r>
        <w:rPr>
          <w:rFonts w:hint="eastAsia" w:ascii="仿宋_GB2312" w:hAnsi="仿宋" w:eastAsia="仿宋_GB2312" w:cs="Calibri"/>
          <w:sz w:val="21"/>
          <w:szCs w:val="21"/>
        </w:rPr>
        <w:t>以上行为违反了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《中华人民共和国安全生产法》第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四十三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条 </w:t>
      </w:r>
      <w:r>
        <w:rPr>
          <w:rFonts w:hint="eastAsia" w:ascii="仿宋_GB2312" w:hAnsi="仿宋" w:eastAsia="仿宋_GB2312" w:cs="Calibri"/>
          <w:sz w:val="21"/>
          <w:szCs w:val="21"/>
        </w:rPr>
        <w:t xml:space="preserve">的规定，依据 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>《中华人民共和国安全生产法》第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一百零一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>条第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>三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>项</w:t>
      </w:r>
      <w:r>
        <w:rPr>
          <w:rFonts w:hint="eastAsia" w:ascii="仿宋_GB2312" w:hAnsi="仿宋" w:eastAsia="仿宋_GB2312" w:cs="Calibri"/>
          <w:sz w:val="21"/>
          <w:szCs w:val="21"/>
        </w:rPr>
        <w:t xml:space="preserve">的规定，决定给予 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>处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罚款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>人民币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>贰万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元整</w:t>
      </w:r>
      <w:r>
        <w:rPr>
          <w:rFonts w:hint="eastAsia" w:ascii="仿宋_GB2312" w:hAnsi="仿宋" w:eastAsia="仿宋_GB2312" w:cs="Calibri"/>
          <w:sz w:val="21"/>
          <w:szCs w:val="21"/>
        </w:rPr>
        <w:t>的行政处罚。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仿宋_GB2312" w:hAnsi="仿宋" w:eastAsia="仿宋_GB2312" w:cs="Calibri"/>
          <w:sz w:val="21"/>
          <w:szCs w:val="21"/>
        </w:rPr>
      </w:pPr>
      <w:r>
        <w:rPr>
          <w:rFonts w:hint="eastAsia" w:ascii="仿宋_GB2312" w:hAnsi="仿宋" w:eastAsia="仿宋_GB2312" w:cs="Calibri"/>
          <w:sz w:val="21"/>
          <w:szCs w:val="21"/>
        </w:rPr>
        <w:t>处以罚款的，罚款自收到本决定书之日起15日内缴至 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福建省政府非税收入待解缴科目</w:t>
      </w:r>
      <w:r>
        <w:rPr>
          <w:rFonts w:hint="eastAsia" w:ascii="仿宋_GB2312" w:hAnsi="仿宋" w:eastAsia="仿宋_GB2312" w:cs="Calibri"/>
          <w:sz w:val="21"/>
          <w:szCs w:val="21"/>
        </w:rPr>
        <w:t>，账号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福建省非税收入缴款通知书（电子）</w:t>
      </w:r>
      <w:r>
        <w:rPr>
          <w:rFonts w:hint="eastAsia" w:ascii="仿宋_GB2312" w:hAnsi="仿宋" w:eastAsia="仿宋_GB2312" w:cs="Calibri"/>
          <w:sz w:val="21"/>
          <w:szCs w:val="21"/>
        </w:rPr>
        <w:t>，到期不缴每日按罚款数额的3%加处罚款。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20" w:firstLineChars="200"/>
        <w:textAlignment w:val="auto"/>
        <w:rPr>
          <w:rFonts w:hint="eastAsia" w:ascii="仿宋_GB2312" w:hAnsi="仿宋" w:eastAsia="仿宋_GB2312" w:cs="Calibri"/>
          <w:sz w:val="21"/>
          <w:szCs w:val="21"/>
        </w:rPr>
      </w:pPr>
      <w:r>
        <w:rPr>
          <w:rFonts w:hint="eastAsia" w:ascii="仿宋_GB2312" w:hAnsi="仿宋" w:eastAsia="仿宋_GB2312" w:cs="Calibri"/>
          <w:sz w:val="21"/>
          <w:szCs w:val="21"/>
        </w:rPr>
        <w:t>如果不服本处罚决定，可以依法在60日内向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永泰县</w:t>
      </w:r>
      <w:r>
        <w:rPr>
          <w:rFonts w:hint="eastAsia" w:ascii="仿宋_GB2312" w:hAnsi="仿宋" w:eastAsia="仿宋_GB2312" w:cs="Calibri"/>
          <w:sz w:val="21"/>
          <w:szCs w:val="21"/>
          <w:u w:val="single"/>
        </w:rPr>
        <w:t xml:space="preserve"> </w:t>
      </w:r>
      <w:r>
        <w:rPr>
          <w:rFonts w:hint="eastAsia" w:ascii="仿宋_GB2312" w:hAnsi="仿宋" w:eastAsia="仿宋_GB2312" w:cs="Calibri"/>
          <w:sz w:val="21"/>
          <w:szCs w:val="21"/>
        </w:rPr>
        <w:t xml:space="preserve">人民政府申请行政复议，或者在6个月内依法向 </w:t>
      </w:r>
      <w:r>
        <w:rPr>
          <w:rFonts w:hint="eastAsia" w:ascii="仿宋_GB2312" w:hAnsi="仿宋" w:eastAsia="仿宋_GB2312" w:cs="Calibri"/>
          <w:sz w:val="21"/>
          <w:szCs w:val="21"/>
          <w:u w:val="single"/>
          <w:lang w:eastAsia="zh-CN"/>
        </w:rPr>
        <w:t>福州市仓山区</w:t>
      </w:r>
      <w:r>
        <w:rPr>
          <w:rFonts w:hint="eastAsia" w:ascii="仿宋_GB2312" w:hAnsi="仿宋" w:eastAsia="仿宋_GB2312" w:cs="Calibri"/>
          <w:sz w:val="21"/>
          <w:szCs w:val="21"/>
        </w:rPr>
        <w:t xml:space="preserve"> 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>
      <w:pPr>
        <w:spacing w:line="400" w:lineRule="exact"/>
        <w:jc w:val="right"/>
        <w:rPr>
          <w:rFonts w:hint="eastAsia" w:ascii="仿宋_GB2312" w:hAnsi="仿宋" w:eastAsia="仿宋_GB2312" w:cs="Calibri"/>
          <w:sz w:val="21"/>
          <w:szCs w:val="21"/>
        </w:rPr>
      </w:pPr>
      <w:r>
        <w:rPr>
          <w:rFonts w:hint="eastAsia" w:ascii="仿宋_GB2312" w:hAnsi="仿宋" w:eastAsia="仿宋_GB2312" w:cs="Calibri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" w:eastAsia="仿宋_GB2312" w:cs="Calibri"/>
          <w:sz w:val="21"/>
          <w:szCs w:val="21"/>
        </w:rPr>
        <w:t xml:space="preserve"> </w:t>
      </w:r>
    </w:p>
    <w:p>
      <w:pPr>
        <w:spacing w:line="400" w:lineRule="exact"/>
        <w:jc w:val="right"/>
        <w:rPr>
          <w:rFonts w:hint="eastAsia" w:ascii="仿宋_GB2312" w:hAnsi="仿宋" w:eastAsia="仿宋_GB2312" w:cs="Calibri"/>
          <w:sz w:val="21"/>
          <w:szCs w:val="21"/>
        </w:rPr>
      </w:pPr>
      <w:r>
        <w:rPr>
          <w:rFonts w:hint="eastAsia" w:ascii="仿宋_GB2312" w:hAnsi="仿宋" w:eastAsia="仿宋_GB2312" w:cs="Calibri"/>
          <w:sz w:val="21"/>
          <w:szCs w:val="21"/>
          <w:lang w:eastAsia="zh-CN"/>
        </w:rPr>
        <w:t>永泰县应急管理局</w:t>
      </w:r>
    </w:p>
    <w:p>
      <w:pPr>
        <w:spacing w:line="400" w:lineRule="exact"/>
        <w:jc w:val="right"/>
        <w:rPr>
          <w:rFonts w:hint="eastAsia" w:ascii="仿宋_GB2312" w:hAnsi="仿宋" w:eastAsia="仿宋_GB2312" w:cs="Calibri"/>
          <w:sz w:val="21"/>
          <w:szCs w:val="21"/>
        </w:rPr>
      </w:pPr>
      <w:r>
        <w:rPr>
          <w:rFonts w:hint="eastAsia" w:ascii="仿宋_GB2312" w:hAnsi="仿宋" w:eastAsia="仿宋_GB2312" w:cs="Calibri"/>
          <w:sz w:val="21"/>
          <w:szCs w:val="21"/>
        </w:rPr>
        <w:t xml:space="preserve">                                      </w:t>
      </w:r>
      <w:r>
        <w:rPr>
          <w:rFonts w:hint="eastAsia" w:ascii="仿宋_GB2312" w:hAnsi="仿宋" w:eastAsia="仿宋_GB2312" w:cs="Calibri"/>
          <w:sz w:val="21"/>
          <w:szCs w:val="21"/>
          <w:lang w:val="en-US" w:eastAsia="zh-CN"/>
        </w:rPr>
        <w:t xml:space="preserve">        </w:t>
      </w:r>
      <w:r>
        <w:rPr>
          <w:rFonts w:hint="eastAsia" w:ascii="仿宋_GB2312" w:hAnsi="仿宋" w:eastAsia="仿宋_GB2312" w:cs="Calibri"/>
          <w:sz w:val="21"/>
          <w:szCs w:val="21"/>
        </w:rPr>
        <w:t>年</w:t>
      </w:r>
      <w:r>
        <w:rPr>
          <w:rFonts w:hint="eastAsia" w:ascii="仿宋_GB2312" w:hAnsi="仿宋" w:eastAsia="仿宋_GB2312" w:cs="Calibri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" w:eastAsia="仿宋_GB2312" w:cs="Calibri"/>
          <w:sz w:val="21"/>
          <w:szCs w:val="21"/>
        </w:rPr>
        <w:t xml:space="preserve"> 月</w:t>
      </w:r>
      <w:r>
        <w:rPr>
          <w:rFonts w:hint="eastAsia" w:ascii="仿宋_GB2312" w:hAnsi="仿宋" w:eastAsia="仿宋_GB2312" w:cs="Calibri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仿宋" w:eastAsia="仿宋_GB2312" w:cs="Calibri"/>
          <w:sz w:val="21"/>
          <w:szCs w:val="21"/>
        </w:rPr>
        <w:t>日</w:t>
      </w:r>
    </w:p>
    <w:p>
      <w:pPr>
        <w:spacing w:line="400" w:lineRule="exact"/>
        <w:rPr>
          <w:rFonts w:hint="eastAsia" w:ascii="仿宋_GB2312" w:hAnsi="仿宋" w:eastAsia="仿宋_GB2312" w:cs="Calibri"/>
          <w:sz w:val="21"/>
          <w:szCs w:val="21"/>
        </w:rPr>
      </w:pPr>
      <w:r>
        <w:rPr>
          <w:rFonts w:hint="eastAsia" w:ascii="仿宋_GB2312" w:hAnsi="仿宋" w:eastAsia="仿宋_GB2312" w:cs="Calibri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486400" cy="0"/>
                <wp:effectExtent l="0" t="0" r="0" b="0"/>
                <wp:wrapNone/>
                <wp:docPr id="2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43" o:spid="_x0000_s1026" o:spt="20" style="position:absolute;left:0pt;margin-left:0pt;margin-top:0.8pt;height:0pt;width:432pt;z-index:251660288;mso-width-relative:page;mso-height-relative:page;" filled="f" stroked="t" coordsize="21600,21600" o:gfxdata="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AJJ2OXQAAAABAEAAA8AAAAAAAAAAQAgAAAAIgAAAGRycy9kb3ducmV2LnhtbFBLAQIU&#10;ABQAAAAIAIdO4kCQOs3b+wEAAPADAAAOAAAAAAAAAAEAIAAAAB8BAABkcnMvZTJvRG9jLnhtbFBL&#10;BQYAAAAABgAGAFkBAACM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 w:cs="Calibri"/>
          <w:sz w:val="21"/>
          <w:szCs w:val="21"/>
          <w:lang w:val="en-US" w:eastAsia="zh-CN"/>
        </w:rPr>
        <w:t xml:space="preserve">           </w:t>
      </w:r>
      <w:r>
        <w:rPr>
          <w:rFonts w:hint="eastAsia" w:ascii="仿宋_GB2312" w:hAnsi="仿宋" w:eastAsia="仿宋_GB2312" w:cs="Calibri"/>
          <w:sz w:val="21"/>
          <w:szCs w:val="21"/>
        </w:rPr>
        <w:t>本文书一式两份：一份由应急管理部门备案，一份交被处罚人（单位）。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NWUwZjRlMzJlYjFmNjdmYmZhNjRhZDdmMjk0NmEifQ=="/>
  </w:docVars>
  <w:rsids>
    <w:rsidRoot w:val="00172A27"/>
    <w:rsid w:val="05F724A7"/>
    <w:rsid w:val="09DC5578"/>
    <w:rsid w:val="0A79408C"/>
    <w:rsid w:val="110F7CF4"/>
    <w:rsid w:val="13777DA9"/>
    <w:rsid w:val="1FC407C2"/>
    <w:rsid w:val="23683754"/>
    <w:rsid w:val="23DA3866"/>
    <w:rsid w:val="29CC3D93"/>
    <w:rsid w:val="2B89156E"/>
    <w:rsid w:val="2F992F2B"/>
    <w:rsid w:val="3147038D"/>
    <w:rsid w:val="32081A24"/>
    <w:rsid w:val="346B5F77"/>
    <w:rsid w:val="36727E6A"/>
    <w:rsid w:val="3F8A235D"/>
    <w:rsid w:val="47C51B48"/>
    <w:rsid w:val="49FC7880"/>
    <w:rsid w:val="4A796484"/>
    <w:rsid w:val="4CE12035"/>
    <w:rsid w:val="4E63499A"/>
    <w:rsid w:val="50C37DBB"/>
    <w:rsid w:val="52F07F1D"/>
    <w:rsid w:val="5FFF11E7"/>
    <w:rsid w:val="62F61AA5"/>
    <w:rsid w:val="64886648"/>
    <w:rsid w:val="650E086A"/>
    <w:rsid w:val="660B1D8F"/>
    <w:rsid w:val="68F274E3"/>
    <w:rsid w:val="6AD76DA0"/>
    <w:rsid w:val="7602597D"/>
    <w:rsid w:val="788A2BF4"/>
    <w:rsid w:val="796D7994"/>
    <w:rsid w:val="7F5C6911"/>
    <w:rsid w:val="7F8719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Calibri" w:asciiTheme="minorHAnsi" w:hAnsiTheme="minorHAnsi" w:eastAsiaTheme="minorEastAsi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next w:val="1"/>
    <w:qFormat/>
    <w:uiPriority w:val="0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663</Words>
  <Characters>714</Characters>
  <Lines>1</Lines>
  <Paragraphs>1</Paragraphs>
  <TotalTime>2</TotalTime>
  <ScaleCrop>false</ScaleCrop>
  <LinksUpToDate>false</LinksUpToDate>
  <CharactersWithSpaces>935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2018-09-25T08:19:00Z</dcterms:created>
  <dc:creator>Administrator</dc:creator>
  <cp:lastModifiedBy>Administrator</cp:lastModifiedBy>
  <cp:lastPrinted>2021-04-26T02:33:00Z</cp:lastPrinted>
  <dcterms:modified xsi:type="dcterms:W3CDTF">2023-05-30T07:39:49Z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1B7884CAFC5C4690BE3D16E4897185B9_13</vt:lpwstr>
  </property>
</Properties>
</file>