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lang w:val="en-US" w:eastAsia="zh-CN"/>
        </w:rPr>
      </w:pPr>
      <w:r>
        <w:rPr>
          <w:rFonts w:hint="eastAsia"/>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2019年福州市优秀软件产品和优秀应用解决方案名单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16" w:firstLineChars="200"/>
        <w:jc w:val="both"/>
        <w:textAlignment w:val="auto"/>
        <w:outlineLvl w:val="9"/>
        <w:rPr>
          <w:rFonts w:hint="eastAsia" w:ascii="黑体" w:hAnsi="黑体" w:eastAsia="黑体" w:cs="黑体"/>
          <w:spacing w:val="-6"/>
          <w:kern w:val="2"/>
          <w:sz w:val="32"/>
          <w:lang w:val="en-US" w:eastAsia="zh-CN"/>
        </w:rPr>
      </w:pPr>
      <w:r>
        <w:rPr>
          <w:rFonts w:hint="eastAsia" w:ascii="黑体" w:hAnsi="黑体" w:eastAsia="黑体" w:cs="黑体"/>
          <w:spacing w:val="-6"/>
          <w:kern w:val="2"/>
          <w:sz w:val="32"/>
          <w:lang w:val="en-US" w:eastAsia="zh-CN"/>
        </w:rPr>
        <w:t>一、优秀软件产品</w:t>
      </w:r>
    </w:p>
    <w:tbl>
      <w:tblPr>
        <w:tblStyle w:val="4"/>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78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b/>
                <w:bCs/>
                <w:i w:val="0"/>
                <w:iCs w:val="0"/>
                <w:spacing w:val="-6"/>
                <w:kern w:val="2"/>
                <w:sz w:val="28"/>
                <w:szCs w:val="28"/>
                <w:vertAlign w:val="baseline"/>
                <w:lang w:val="en-US" w:eastAsia="zh-CN"/>
              </w:rPr>
            </w:pPr>
            <w:r>
              <w:rPr>
                <w:rFonts w:hint="eastAsia" w:ascii="仿宋_GB2312" w:hAnsi="仿宋_GB2312" w:eastAsia="仿宋_GB2312" w:cs="仿宋_GB2312"/>
                <w:b/>
                <w:bCs/>
                <w:i w:val="0"/>
                <w:iCs w:val="0"/>
                <w:spacing w:val="-6"/>
                <w:kern w:val="2"/>
                <w:sz w:val="28"/>
                <w:szCs w:val="28"/>
                <w:vertAlign w:val="baseline"/>
                <w:lang w:val="en-US" w:eastAsia="zh-CN"/>
              </w:rPr>
              <w:t>序号</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b/>
                <w:bCs/>
                <w:i w:val="0"/>
                <w:iCs w:val="0"/>
                <w:spacing w:val="-6"/>
                <w:kern w:val="2"/>
                <w:sz w:val="28"/>
                <w:szCs w:val="28"/>
                <w:vertAlign w:val="baseline"/>
                <w:lang w:val="en-US" w:eastAsia="zh-CN"/>
              </w:rPr>
            </w:pPr>
            <w:r>
              <w:rPr>
                <w:rFonts w:hint="eastAsia" w:ascii="仿宋_GB2312" w:hAnsi="仿宋_GB2312" w:eastAsia="仿宋_GB2312" w:cs="仿宋_GB2312"/>
                <w:b/>
                <w:bCs/>
                <w:i w:val="0"/>
                <w:iCs w:val="0"/>
                <w:spacing w:val="-6"/>
                <w:kern w:val="2"/>
                <w:sz w:val="28"/>
                <w:szCs w:val="28"/>
                <w:vertAlign w:val="baseline"/>
                <w:lang w:val="en-US" w:eastAsia="zh-CN"/>
              </w:rPr>
              <w:t>企业名称</w:t>
            </w:r>
          </w:p>
        </w:tc>
        <w:tc>
          <w:tcPr>
            <w:tcW w:w="411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b/>
                <w:bCs/>
                <w:i w:val="0"/>
                <w:iCs w:val="0"/>
                <w:spacing w:val="-6"/>
                <w:kern w:val="2"/>
                <w:sz w:val="28"/>
                <w:szCs w:val="28"/>
                <w:vertAlign w:val="baseline"/>
                <w:lang w:val="en-US" w:eastAsia="zh-CN"/>
              </w:rPr>
            </w:pPr>
            <w:r>
              <w:rPr>
                <w:rFonts w:hint="eastAsia" w:ascii="仿宋_GB2312" w:hAnsi="仿宋_GB2312" w:eastAsia="仿宋_GB2312" w:cs="仿宋_GB2312"/>
                <w:b/>
                <w:bCs/>
                <w:i w:val="0"/>
                <w:iCs w:val="0"/>
                <w:spacing w:val="-6"/>
                <w:kern w:val="2"/>
                <w:sz w:val="28"/>
                <w:szCs w:val="28"/>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spacing w:val="-6"/>
                <w:kern w:val="2"/>
                <w:sz w:val="28"/>
                <w:szCs w:val="28"/>
                <w:vertAlign w:val="baseline"/>
                <w:lang w:val="en-US" w:eastAsia="zh-CN"/>
              </w:rPr>
              <w:t>1</w:t>
            </w:r>
          </w:p>
        </w:tc>
        <w:tc>
          <w:tcPr>
            <w:tcW w:w="3780"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福建升腾资讯有限公司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升腾mPOS终端软件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spacing w:val="-6"/>
                <w:kern w:val="2"/>
                <w:sz w:val="28"/>
                <w:szCs w:val="28"/>
                <w:vertAlign w:val="baseline"/>
                <w:lang w:val="en-US" w:eastAsia="zh-CN"/>
              </w:rPr>
              <w:t>2</w:t>
            </w:r>
          </w:p>
        </w:tc>
        <w:tc>
          <w:tcPr>
            <w:tcW w:w="3780"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福建睿能科技股份有限公司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睿能F4000PLUS型电脑针织横机控制软件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spacing w:val="-6"/>
                <w:kern w:val="2"/>
                <w:sz w:val="28"/>
                <w:szCs w:val="28"/>
                <w:vertAlign w:val="baseline"/>
                <w:lang w:val="en-US" w:eastAsia="zh-CN"/>
              </w:rPr>
              <w:t>3</w:t>
            </w:r>
          </w:p>
        </w:tc>
        <w:tc>
          <w:tcPr>
            <w:tcW w:w="3780"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福建福昕软件开发股份有限公司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福昕PDF开发工具包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spacing w:val="-6"/>
                <w:kern w:val="2"/>
                <w:sz w:val="28"/>
                <w:szCs w:val="28"/>
                <w:vertAlign w:val="baseline"/>
                <w:lang w:val="en-US" w:eastAsia="zh-CN"/>
              </w:rPr>
              <w:t>4</w:t>
            </w:r>
          </w:p>
        </w:tc>
        <w:tc>
          <w:tcPr>
            <w:tcW w:w="3780"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福建博思软件股份有限公司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博思电子票据管理系统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spacing w:val="-6"/>
                <w:kern w:val="2"/>
                <w:sz w:val="28"/>
                <w:szCs w:val="28"/>
                <w:vertAlign w:val="baseline"/>
                <w:lang w:val="en-US" w:eastAsia="zh-CN"/>
              </w:rPr>
              <w:t>5</w:t>
            </w:r>
          </w:p>
        </w:tc>
        <w:tc>
          <w:tcPr>
            <w:tcW w:w="3780"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福建好运联联信息科技有限公司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好运联联联运宝智能甩挂调度与协同管理平台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spacing w:val="-6"/>
                <w:kern w:val="2"/>
                <w:sz w:val="28"/>
                <w:szCs w:val="28"/>
                <w:vertAlign w:val="baseline"/>
                <w:lang w:val="en-US" w:eastAsia="zh-CN"/>
              </w:rPr>
              <w:t>6</w:t>
            </w:r>
          </w:p>
        </w:tc>
        <w:tc>
          <w:tcPr>
            <w:tcW w:w="3780"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慧翰微电子股份有限公司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spacing w:val="-6"/>
                <w:kern w:val="2"/>
                <w:sz w:val="28"/>
                <w:szCs w:val="28"/>
                <w:vertAlign w:val="baseline"/>
                <w:lang w:val="en-US" w:eastAsia="zh-CN"/>
              </w:rPr>
            </w:pPr>
            <w:r>
              <w:rPr>
                <w:rFonts w:hint="eastAsia" w:ascii="仿宋_GB2312" w:hAnsi="仿宋_GB2312" w:eastAsia="仿宋_GB2312" w:cs="仿宋_GB2312"/>
                <w:i w:val="0"/>
                <w:color w:val="000000"/>
                <w:spacing w:val="-6"/>
                <w:kern w:val="0"/>
                <w:sz w:val="28"/>
                <w:szCs w:val="28"/>
                <w:u w:val="none"/>
                <w:lang w:val="en-US" w:eastAsia="zh-CN" w:bidi="ar"/>
              </w:rPr>
              <w:t>慧翰车联网嵌入式平台系统</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16"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0" w:lineRule="exact"/>
        <w:ind w:right="0" w:rightChars="0" w:firstLine="616" w:firstLineChars="200"/>
        <w:jc w:val="both"/>
        <w:textAlignment w:val="auto"/>
        <w:outlineLvl w:val="9"/>
        <w:rPr>
          <w:rFonts w:hint="eastAsia" w:ascii="黑体" w:hAnsi="黑体" w:eastAsia="黑体" w:cs="黑体"/>
          <w:spacing w:val="-6"/>
          <w:kern w:val="2"/>
          <w:sz w:val="32"/>
          <w:lang w:val="en-US" w:eastAsia="zh-CN"/>
        </w:rPr>
      </w:pPr>
      <w:bookmarkStart w:id="0" w:name="_GoBack"/>
      <w:bookmarkEnd w:id="0"/>
      <w:r>
        <w:rPr>
          <w:rFonts w:hint="eastAsia" w:ascii="黑体" w:hAnsi="黑体" w:eastAsia="黑体" w:cs="黑体"/>
          <w:spacing w:val="-6"/>
          <w:kern w:val="2"/>
          <w:sz w:val="32"/>
          <w:lang w:val="en-US" w:eastAsia="zh-CN"/>
        </w:rPr>
        <w:t>二、优秀应用解决方案</w:t>
      </w:r>
    </w:p>
    <w:tbl>
      <w:tblPr>
        <w:tblStyle w:val="4"/>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3795"/>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spacing w:val="-6"/>
                <w:kern w:val="2"/>
                <w:sz w:val="32"/>
                <w:vertAlign w:val="baseline"/>
                <w:lang w:val="en-US" w:eastAsia="zh-CN"/>
              </w:rPr>
            </w:pPr>
            <w:r>
              <w:rPr>
                <w:rFonts w:hint="eastAsia" w:ascii="仿宋_GB2312" w:hAnsi="仿宋_GB2312" w:eastAsia="仿宋_GB2312" w:cs="仿宋_GB2312"/>
                <w:b/>
                <w:bCs/>
                <w:i w:val="0"/>
                <w:iCs w:val="0"/>
                <w:spacing w:val="-6"/>
                <w:kern w:val="2"/>
                <w:sz w:val="28"/>
                <w:szCs w:val="28"/>
                <w:vertAlign w:val="baseline"/>
                <w:lang w:val="en-US" w:eastAsia="zh-CN"/>
              </w:rPr>
              <w:t>序号</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spacing w:val="-6"/>
                <w:kern w:val="2"/>
                <w:sz w:val="32"/>
                <w:vertAlign w:val="baseline"/>
                <w:lang w:val="en-US" w:eastAsia="zh-CN"/>
              </w:rPr>
            </w:pPr>
            <w:r>
              <w:rPr>
                <w:rFonts w:hint="eastAsia" w:ascii="仿宋_GB2312" w:hAnsi="仿宋_GB2312" w:eastAsia="仿宋_GB2312" w:cs="仿宋_GB2312"/>
                <w:b/>
                <w:bCs/>
                <w:i w:val="0"/>
                <w:iCs w:val="0"/>
                <w:spacing w:val="-6"/>
                <w:kern w:val="2"/>
                <w:sz w:val="28"/>
                <w:szCs w:val="28"/>
                <w:vertAlign w:val="baseline"/>
                <w:lang w:val="en-US" w:eastAsia="zh-CN"/>
              </w:rPr>
              <w:t>企业名称</w:t>
            </w:r>
          </w:p>
        </w:tc>
        <w:tc>
          <w:tcPr>
            <w:tcW w:w="411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eastAsia" w:ascii="仿宋_GB2312" w:hAnsi="仿宋_GB2312"/>
                <w:spacing w:val="-6"/>
                <w:kern w:val="2"/>
                <w:sz w:val="32"/>
                <w:vertAlign w:val="baseline"/>
                <w:lang w:val="en-US" w:eastAsia="zh-CN"/>
              </w:rPr>
            </w:pPr>
            <w:r>
              <w:rPr>
                <w:rFonts w:hint="eastAsia" w:ascii="仿宋_GB2312" w:hAnsi="仿宋_GB2312" w:eastAsia="仿宋_GB2312" w:cs="仿宋_GB2312"/>
                <w:b/>
                <w:bCs/>
                <w:i w:val="0"/>
                <w:iCs w:val="0"/>
                <w:spacing w:val="-6"/>
                <w:kern w:val="2"/>
                <w:sz w:val="28"/>
                <w:szCs w:val="28"/>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1</w:t>
            </w:r>
          </w:p>
        </w:tc>
        <w:tc>
          <w:tcPr>
            <w:tcW w:w="379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福建亿榕信息技术有限公司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企业级协同办公解决方案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2</w:t>
            </w:r>
          </w:p>
        </w:tc>
        <w:tc>
          <w:tcPr>
            <w:tcW w:w="379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福建索天信息科技股份有限公司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基于虚拟卡技术的智慧交通支付解决方案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3</w:t>
            </w:r>
          </w:p>
        </w:tc>
        <w:tc>
          <w:tcPr>
            <w:tcW w:w="379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福建中信网安信息科技有限公司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基于华安星等级保护综合管理系统支撑平台的等级保护建设解决方案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4</w:t>
            </w:r>
          </w:p>
        </w:tc>
        <w:tc>
          <w:tcPr>
            <w:tcW w:w="379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福州量子中金数码技术有限公司</w:t>
            </w:r>
          </w:p>
        </w:tc>
        <w:tc>
          <w:tcPr>
            <w:tcW w:w="411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6"/>
                <w:kern w:val="0"/>
                <w:sz w:val="28"/>
                <w:szCs w:val="28"/>
                <w:u w:val="none"/>
                <w:lang w:val="en-US" w:eastAsia="zh-CN" w:bidi="ar"/>
              </w:rPr>
            </w:pPr>
            <w:r>
              <w:rPr>
                <w:rFonts w:hint="eastAsia" w:ascii="仿宋_GB2312" w:hAnsi="仿宋_GB2312" w:eastAsia="仿宋_GB2312" w:cs="仿宋_GB2312"/>
                <w:i w:val="0"/>
                <w:color w:val="000000"/>
                <w:spacing w:val="-6"/>
                <w:kern w:val="0"/>
                <w:sz w:val="28"/>
                <w:szCs w:val="28"/>
                <w:u w:val="none"/>
                <w:lang w:val="en-US" w:eastAsia="zh-CN" w:bidi="ar"/>
              </w:rPr>
              <w:t>智慧水务远传抄表与监测物联网应用解决方案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05F13"/>
    <w:rsid w:val="62B05F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2020-04-14T06:34:00Z</dcterms:created>
  <dc:creator>Admin</dc:creator>
  <cp:lastModifiedBy>Admin</cp:lastModifiedBy>
  <dcterms:modified xsi:type="dcterms:W3CDTF">2020-04-14T06:35:14Z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