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0"/>
          <w:szCs w:val="30"/>
          <w:lang w:val="en" w:eastAsia="zh-CN"/>
        </w:rPr>
      </w:pPr>
      <w:r>
        <w:rPr>
          <w:rFonts w:hint="eastAsia" w:ascii="黑体" w:hAnsi="黑体" w:eastAsia="黑体" w:cs="黑体"/>
          <w:sz w:val="30"/>
          <w:szCs w:val="30"/>
          <w:lang w:val="en" w:eastAsia="zh-CN"/>
        </w:rPr>
        <w:t>附件</w:t>
      </w:r>
    </w:p>
    <w:p>
      <w:pPr>
        <w:pStyle w:val="2"/>
        <w:rPr>
          <w:rFonts w:hint="eastAsia"/>
          <w:lang w:val="en" w:eastAsia="zh-CN"/>
        </w:rPr>
      </w:pPr>
    </w:p>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打造新型材料国际品牌项目指挥部</w:t>
      </w:r>
    </w:p>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2022年工作方案</w:t>
      </w:r>
    </w:p>
    <w:p>
      <w:pPr>
        <w:spacing w:line="560" w:lineRule="exact"/>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为贯彻落实《中共福州市委 福州市人民政府关于印发&lt;坚持“3820”战略工程思想精髓加快建设现代化国际城市行动纲要&gt;的通知》（榕委〔2021〕1号）、《关于印发&lt;现代化国际城市领导小组项目指挥部考评细则&gt;的通知》(现代化国际城市领导小组〔2021〕3号)精神，实施龙头扶引专项行动，推进制造业高质量发展，特制定以下工作方案。</w:t>
      </w:r>
    </w:p>
    <w:p>
      <w:pPr>
        <w:pStyle w:val="14"/>
        <w:spacing w:line="560" w:lineRule="exact"/>
        <w:ind w:left="640" w:firstLine="0" w:firstLineChars="0"/>
        <w:rPr>
          <w:rFonts w:ascii="黑体" w:hAnsi="黑体" w:eastAsia="黑体"/>
          <w:sz w:val="32"/>
          <w:szCs w:val="32"/>
        </w:rPr>
      </w:pPr>
      <w:r>
        <w:rPr>
          <w:rFonts w:hint="eastAsia" w:ascii="黑体" w:hAnsi="黑体" w:eastAsia="黑体"/>
          <w:sz w:val="32"/>
          <w:szCs w:val="32"/>
        </w:rPr>
        <w:t>一、工作目标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产业应用为导向，以企业为主体，以科技创新为动力，以关键技术和高端人才为支撑，积极打造化工、冶金、纺织三大千亿产业集群，推进新型材料项目落地和投产，做优做强龙头企业国际品牌，力争2022年末实现</w:t>
      </w:r>
      <w:r>
        <w:rPr>
          <w:rFonts w:hint="eastAsia" w:ascii="仿宋_GB2312" w:hAnsi="仿宋_GB2312" w:eastAsia="仿宋_GB2312" w:cs="仿宋_GB2312"/>
          <w:sz w:val="32"/>
          <w:szCs w:val="32"/>
        </w:rPr>
        <w:t>新型材料所在的行业总产值超5000亿元</w:t>
      </w:r>
      <w:r>
        <w:rPr>
          <w:rFonts w:hint="eastAsia" w:ascii="仿宋_GB2312" w:eastAsia="仿宋_GB2312"/>
          <w:sz w:val="32"/>
          <w:szCs w:val="32"/>
        </w:rPr>
        <w:t>。</w:t>
      </w:r>
    </w:p>
    <w:p>
      <w:pPr>
        <w:pStyle w:val="14"/>
        <w:spacing w:line="560" w:lineRule="exact"/>
        <w:ind w:left="640" w:firstLine="0" w:firstLineChars="0"/>
        <w:rPr>
          <w:rFonts w:ascii="黑体" w:hAnsi="黑体" w:eastAsia="黑体"/>
          <w:sz w:val="32"/>
          <w:szCs w:val="32"/>
        </w:rPr>
      </w:pPr>
      <w:r>
        <w:rPr>
          <w:rFonts w:hint="eastAsia" w:ascii="黑体" w:hAnsi="黑体" w:eastAsia="黑体"/>
          <w:sz w:val="32"/>
          <w:szCs w:val="32"/>
        </w:rPr>
        <w:t>二、重点任务</w:t>
      </w:r>
    </w:p>
    <w:p>
      <w:pPr>
        <w:pStyle w:val="14"/>
        <w:spacing w:line="560" w:lineRule="exact"/>
        <w:ind w:left="643" w:firstLine="0" w:firstLineChars="0"/>
        <w:rPr>
          <w:rFonts w:ascii="楷体" w:hAnsi="楷体" w:eastAsia="楷体" w:cs="楷体"/>
          <w:b/>
          <w:sz w:val="32"/>
          <w:szCs w:val="32"/>
        </w:rPr>
      </w:pPr>
      <w:r>
        <w:rPr>
          <w:rFonts w:hint="eastAsia" w:ascii="楷体" w:hAnsi="楷体" w:eastAsia="楷体" w:cs="楷体"/>
          <w:b/>
          <w:sz w:val="32"/>
          <w:szCs w:val="32"/>
        </w:rPr>
        <w:t>1.实现功能性纺织材料协同化发展</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加强纺织化纤新材料企业上下游协作，围绕以恒申、永荣为核心的集团化企业，在锦纶、涤纶、氨纶全产业链中各环节强化生产和研发。鼓励企业加大研发投入，缩短化纤新材料研发周期，推动联合开发高性能、高技术、高附加值的芳烃纤维等新产品,开发生物基锦纶与生物可降解锦纶，促进产品结构多元化。支持恒申合纤功能性改性纤维智能化生产技改项目、恒申集团年产3万吨再生纤维改造项目建设，提升化纤行业整体智能制造水平。</w:t>
      </w:r>
    </w:p>
    <w:p>
      <w:pPr>
        <w:pStyle w:val="14"/>
        <w:spacing w:line="560" w:lineRule="exact"/>
        <w:ind w:left="643" w:firstLine="0" w:firstLineChars="0"/>
        <w:rPr>
          <w:rFonts w:ascii="楷体" w:hAnsi="楷体" w:eastAsia="楷体" w:cs="楷体"/>
          <w:b/>
          <w:sz w:val="32"/>
          <w:szCs w:val="32"/>
        </w:rPr>
      </w:pPr>
      <w:r>
        <w:rPr>
          <w:rFonts w:hint="eastAsia" w:ascii="楷体" w:hAnsi="楷体" w:eastAsia="楷体" w:cs="楷体"/>
          <w:b/>
          <w:sz w:val="32"/>
          <w:szCs w:val="32"/>
        </w:rPr>
        <w:t>2.引导化工材料高端精细化发展</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打造国际一流的异氰酸酯、聚氨酯产业链，加强对万华化学福建产业园项目建设指导，从研发平台建设、技改资金补助等方面大力支持科麟环保环氧树脂一体化技改示范项目、美得石化丙烷脱氢制丙烯项目。积极推动</w:t>
      </w:r>
      <w:r>
        <w:rPr>
          <w:rFonts w:hint="eastAsia" w:ascii="仿宋_GB2312" w:hAnsi="仿宋_GB2312" w:eastAsia="仿宋_GB2312" w:cs="仿宋_GB2312"/>
          <w:sz w:val="32"/>
          <w:szCs w:val="32"/>
        </w:rPr>
        <w:t>万化化学年产25万吨TDI、福融新材料年产70万吨高强度聚烯烃膜材料、友谊集团年产30万吨PVB膜</w:t>
      </w:r>
      <w:r>
        <w:rPr>
          <w:rFonts w:hint="eastAsia" w:ascii="仿宋_GB2312" w:hAnsi="仿宋_GB2312" w:eastAsia="仿宋_GB2312" w:cs="仿宋_GB2312"/>
          <w:bCs/>
          <w:sz w:val="32"/>
          <w:szCs w:val="32"/>
        </w:rPr>
        <w:t>。集中力量破解项目填海造地问题，为化工产业发展拓展新兴空间。</w:t>
      </w:r>
    </w:p>
    <w:p>
      <w:pPr>
        <w:pStyle w:val="14"/>
        <w:spacing w:line="560" w:lineRule="exact"/>
        <w:ind w:left="643" w:firstLine="0" w:firstLineChars="0"/>
        <w:rPr>
          <w:rFonts w:ascii="楷体" w:hAnsi="楷体" w:eastAsia="楷体" w:cs="楷体"/>
          <w:b/>
          <w:sz w:val="32"/>
          <w:szCs w:val="32"/>
        </w:rPr>
      </w:pPr>
      <w:r>
        <w:rPr>
          <w:rFonts w:hint="eastAsia" w:ascii="楷体" w:hAnsi="楷体" w:eastAsia="楷体" w:cs="楷体"/>
          <w:b/>
          <w:sz w:val="32"/>
          <w:szCs w:val="32"/>
        </w:rPr>
        <w:t>3.坚持金属结构材料绿色化发展</w:t>
      </w:r>
    </w:p>
    <w:p>
      <w:pPr>
        <w:spacing w:line="560" w:lineRule="exact"/>
        <w:ind w:firstLine="640" w:firstLineChars="200"/>
        <w:rPr>
          <w:rFonts w:ascii="仿宋_GB2312" w:hAnsi="仿宋_GB2312" w:eastAsia="仿宋_GB2312" w:cs="仿宋_GB2312"/>
          <w:bCs/>
        </w:rPr>
      </w:pPr>
      <w:r>
        <w:rPr>
          <w:rFonts w:hint="eastAsia" w:ascii="仿宋_GB2312" w:hAnsi="仿宋_GB2312" w:eastAsia="仿宋_GB2312" w:cs="仿宋_GB2312"/>
          <w:bCs/>
          <w:sz w:val="32"/>
          <w:szCs w:val="32"/>
        </w:rPr>
        <w:t>通过产线技改，降低能耗和排放，提升高品质特殊钢产品性能，打造高品质特殊钢福州品牌。支持大东海精品冷轧项目和宝钢德盛400系、双相不锈钢产能置换项目和罗源闽光大中型H型钢技术改造项目。建设特种铝合金东南基地。以中铝瑞闽、奋安铝业、祥鑫铝业为基础，鼓励生产高强、高韧和耐高温特种铝合金及挤压材产业化，大力支持麦特新高强度耐腐蚀铝合金材料及其成型生产线扩建项目。</w:t>
      </w:r>
    </w:p>
    <w:p>
      <w:pPr>
        <w:pStyle w:val="14"/>
        <w:spacing w:line="560" w:lineRule="exact"/>
        <w:ind w:left="643" w:firstLine="0" w:firstLineChars="0"/>
        <w:rPr>
          <w:rFonts w:ascii="楷体" w:hAnsi="楷体" w:eastAsia="楷体" w:cs="楷体"/>
          <w:b/>
          <w:sz w:val="32"/>
          <w:szCs w:val="32"/>
        </w:rPr>
      </w:pPr>
      <w:r>
        <w:rPr>
          <w:rFonts w:hint="eastAsia" w:ascii="楷体" w:hAnsi="楷体" w:eastAsia="楷体" w:cs="楷体"/>
          <w:b/>
          <w:sz w:val="32"/>
          <w:szCs w:val="32"/>
        </w:rPr>
        <w:t>4.促进特种玻璃创新化发展</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基于福耀玻璃积累的高端汽车玻璃研发技术，联合京东方开展战略合作，布局液晶调光玻璃、智能显示玻璃等新产品，充分发挥行业协会的力量，大力支持智慧视窗产品应用于乘用车等领域。依托新福兴、瑞玻玻璃等项目建设，落实平板玻璃产能指标，实现我市玻璃行业节能降耗和提质增效，引导企业发展方向由传统平板玻璃向液晶调光玻璃、智能显示玻璃、超白玻璃、在线镀膜玻璃、光热玻璃、低辐射高端电子玻璃等高附加值产品转型。</w:t>
      </w:r>
    </w:p>
    <w:p>
      <w:pPr>
        <w:pStyle w:val="14"/>
        <w:spacing w:line="560" w:lineRule="exact"/>
        <w:ind w:left="643" w:firstLine="0" w:firstLineChars="0"/>
        <w:rPr>
          <w:rFonts w:ascii="楷体" w:hAnsi="楷体" w:eastAsia="楷体" w:cs="楷体"/>
          <w:b/>
          <w:sz w:val="32"/>
          <w:szCs w:val="32"/>
        </w:rPr>
      </w:pPr>
      <w:r>
        <w:rPr>
          <w:rFonts w:hint="eastAsia" w:ascii="楷体" w:hAnsi="楷体" w:eastAsia="楷体" w:cs="楷体"/>
          <w:b/>
          <w:sz w:val="32"/>
          <w:szCs w:val="32"/>
        </w:rPr>
        <w:t>5.支持电子信息材料产业化发展</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远新材料与台湾兆捷合作的电子化学品及特种气体项目，争取年内建成投产。推动富轩科技应用于超导、感光、多晶电池及新能源领域的银基电子材料项目年内建成投产；推动福州恒美光电材料科技有限公司超宽幅偏光片生产线建设。推动兆元光电外延片增强市场竞争力。</w:t>
      </w:r>
    </w:p>
    <w:p>
      <w:pPr>
        <w:pStyle w:val="14"/>
        <w:spacing w:line="560" w:lineRule="exact"/>
        <w:ind w:left="640" w:firstLine="0" w:firstLineChars="0"/>
        <w:rPr>
          <w:rFonts w:ascii="黑体" w:hAnsi="黑体" w:eastAsia="黑体"/>
          <w:sz w:val="32"/>
          <w:szCs w:val="32"/>
        </w:rPr>
      </w:pPr>
      <w:r>
        <w:rPr>
          <w:rFonts w:hint="eastAsia" w:ascii="黑体" w:hAnsi="黑体" w:eastAsia="黑体"/>
          <w:sz w:val="32"/>
          <w:szCs w:val="32"/>
        </w:rPr>
        <w:t>三、主要测评目标</w:t>
      </w:r>
    </w:p>
    <w:p>
      <w:pPr>
        <w:pStyle w:val="14"/>
        <w:spacing w:line="560" w:lineRule="exact"/>
        <w:ind w:left="640" w:firstLine="0" w:firstLineChars="0"/>
        <w:rPr>
          <w:rFonts w:ascii="仿宋_GB2312" w:eastAsia="仿宋_GB2312"/>
          <w:sz w:val="32"/>
          <w:szCs w:val="32"/>
        </w:rPr>
      </w:pPr>
      <w:r>
        <w:rPr>
          <w:rFonts w:hint="eastAsia" w:ascii="仿宋_GB2312" w:hAnsi="Calibri" w:eastAsia="仿宋_GB2312" w:cs="Times New Roman"/>
          <w:sz w:val="32"/>
          <w:szCs w:val="32"/>
        </w:rPr>
        <w:t>1.基础性材料钢铁行业</w:t>
      </w:r>
      <w:r>
        <w:rPr>
          <w:rFonts w:hint="eastAsia" w:ascii="仿宋_GB2312" w:eastAsia="仿宋_GB2312"/>
          <w:sz w:val="32"/>
          <w:szCs w:val="32"/>
        </w:rPr>
        <w:t>年</w:t>
      </w:r>
      <w:r>
        <w:rPr>
          <w:rFonts w:hint="eastAsia" w:ascii="仿宋_GB2312" w:hAnsi="Calibri" w:eastAsia="仿宋_GB2312" w:cs="Times New Roman"/>
          <w:sz w:val="32"/>
          <w:szCs w:val="32"/>
        </w:rPr>
        <w:t>产值超750亿元</w:t>
      </w:r>
      <w:r>
        <w:rPr>
          <w:rFonts w:hint="eastAsia" w:ascii="仿宋_GB2312" w:eastAsia="仿宋_GB2312"/>
          <w:sz w:val="32"/>
          <w:szCs w:val="32"/>
        </w:rPr>
        <w:t>。</w:t>
      </w:r>
    </w:p>
    <w:p>
      <w:pPr>
        <w:pStyle w:val="14"/>
        <w:spacing w:line="560" w:lineRule="exact"/>
        <w:ind w:left="640" w:firstLine="0" w:firstLineChars="0"/>
        <w:rPr>
          <w:rFonts w:ascii="仿宋_GB2312" w:hAnsi="Calibri" w:eastAsia="仿宋_GB2312" w:cs="Times New Roman"/>
          <w:sz w:val="32"/>
          <w:szCs w:val="32"/>
        </w:rPr>
      </w:pPr>
      <w:r>
        <w:rPr>
          <w:rFonts w:hint="eastAsia" w:ascii="仿宋_GB2312" w:hAnsi="Calibri" w:eastAsia="仿宋_GB2312" w:cs="Times New Roman"/>
          <w:sz w:val="32"/>
          <w:szCs w:val="32"/>
        </w:rPr>
        <w:t>2.基础性材料有色金属行业</w:t>
      </w:r>
      <w:r>
        <w:rPr>
          <w:rFonts w:hint="eastAsia" w:ascii="仿宋_GB2312" w:eastAsia="仿宋_GB2312"/>
          <w:sz w:val="32"/>
          <w:szCs w:val="32"/>
        </w:rPr>
        <w:t>年</w:t>
      </w:r>
      <w:r>
        <w:rPr>
          <w:rFonts w:hint="eastAsia" w:ascii="仿宋_GB2312" w:hAnsi="Calibri" w:eastAsia="仿宋_GB2312" w:cs="Times New Roman"/>
          <w:sz w:val="32"/>
          <w:szCs w:val="32"/>
        </w:rPr>
        <w:t>产值超180亿元。</w:t>
      </w:r>
    </w:p>
    <w:p>
      <w:pPr>
        <w:pStyle w:val="14"/>
        <w:spacing w:line="560" w:lineRule="exact"/>
        <w:ind w:left="640" w:firstLine="0" w:firstLineChars="0"/>
        <w:rPr>
          <w:rFonts w:ascii="仿宋_GB2312" w:hAnsi="Calibri" w:eastAsia="仿宋_GB2312" w:cs="Times New Roman"/>
          <w:sz w:val="32"/>
          <w:szCs w:val="32"/>
        </w:rPr>
      </w:pPr>
      <w:r>
        <w:rPr>
          <w:rFonts w:hint="eastAsia" w:ascii="仿宋_GB2312" w:hAnsi="Calibri" w:eastAsia="仿宋_GB2312" w:cs="Times New Roman"/>
          <w:sz w:val="32"/>
          <w:szCs w:val="32"/>
        </w:rPr>
        <w:t>3.先进高分子材料石油化工行业</w:t>
      </w:r>
      <w:r>
        <w:rPr>
          <w:rFonts w:hint="eastAsia" w:ascii="仿宋_GB2312" w:eastAsia="仿宋_GB2312"/>
          <w:sz w:val="32"/>
          <w:szCs w:val="32"/>
        </w:rPr>
        <w:t>年</w:t>
      </w:r>
      <w:r>
        <w:rPr>
          <w:rFonts w:hint="eastAsia" w:ascii="仿宋_GB2312" w:hAnsi="Calibri" w:eastAsia="仿宋_GB2312" w:cs="Times New Roman"/>
          <w:sz w:val="32"/>
          <w:szCs w:val="32"/>
        </w:rPr>
        <w:t>产值超</w:t>
      </w:r>
      <w:r>
        <w:rPr>
          <w:rFonts w:hint="eastAsia" w:ascii="仿宋_GB2312" w:hAnsi="Calibri" w:eastAsia="仿宋_GB2312" w:cs="Times New Roman"/>
          <w:sz w:val="32"/>
          <w:szCs w:val="32"/>
          <w:lang w:val="en-US" w:eastAsia="zh-CN"/>
        </w:rPr>
        <w:t>720</w:t>
      </w:r>
      <w:r>
        <w:rPr>
          <w:rFonts w:hint="eastAsia" w:ascii="仿宋_GB2312" w:hAnsi="Calibri" w:eastAsia="仿宋_GB2312" w:cs="Times New Roman"/>
          <w:sz w:val="32"/>
          <w:szCs w:val="32"/>
        </w:rPr>
        <w:t>亿元。</w:t>
      </w:r>
    </w:p>
    <w:p>
      <w:pPr>
        <w:pStyle w:val="14"/>
        <w:spacing w:line="560" w:lineRule="exact"/>
        <w:ind w:left="640" w:firstLine="0" w:firstLineChars="0"/>
        <w:rPr>
          <w:rFonts w:ascii="仿宋_GB2312" w:hAnsi="Calibri" w:eastAsia="仿宋_GB2312" w:cs="Times New Roman"/>
          <w:sz w:val="32"/>
          <w:szCs w:val="32"/>
        </w:rPr>
      </w:pPr>
      <w:r>
        <w:rPr>
          <w:rFonts w:hint="eastAsia" w:ascii="仿宋_GB2312" w:hAnsi="Calibri" w:eastAsia="仿宋_GB2312" w:cs="Times New Roman"/>
          <w:sz w:val="32"/>
          <w:szCs w:val="32"/>
        </w:rPr>
        <w:t>4.先进无机非金属材料建材行业</w:t>
      </w:r>
      <w:r>
        <w:rPr>
          <w:rFonts w:hint="eastAsia" w:ascii="仿宋_GB2312" w:eastAsia="仿宋_GB2312"/>
          <w:sz w:val="32"/>
          <w:szCs w:val="32"/>
        </w:rPr>
        <w:t>年</w:t>
      </w:r>
      <w:r>
        <w:rPr>
          <w:rFonts w:hint="eastAsia" w:ascii="仿宋_GB2312" w:hAnsi="Calibri" w:eastAsia="仿宋_GB2312" w:cs="Times New Roman"/>
          <w:sz w:val="32"/>
          <w:szCs w:val="32"/>
        </w:rPr>
        <w:t>产值超</w:t>
      </w:r>
      <w:r>
        <w:rPr>
          <w:rFonts w:hint="eastAsia" w:ascii="仿宋_GB2312" w:hAnsi="Calibri" w:eastAsia="仿宋_GB2312" w:cs="Times New Roman"/>
          <w:sz w:val="32"/>
          <w:szCs w:val="32"/>
          <w:lang w:val="en-US" w:eastAsia="zh-CN"/>
        </w:rPr>
        <w:t>790</w:t>
      </w:r>
      <w:r>
        <w:rPr>
          <w:rFonts w:hint="eastAsia" w:ascii="仿宋_GB2312" w:hAnsi="Calibri" w:eastAsia="仿宋_GB2312" w:cs="Times New Roman"/>
          <w:sz w:val="32"/>
          <w:szCs w:val="32"/>
        </w:rPr>
        <w:t>亿元。</w:t>
      </w:r>
    </w:p>
    <w:p>
      <w:pPr>
        <w:pStyle w:val="14"/>
        <w:spacing w:line="560" w:lineRule="exact"/>
        <w:ind w:firstLine="0" w:firstLineChars="0"/>
      </w:pPr>
      <w:r>
        <w:rPr>
          <w:rFonts w:hint="eastAsia" w:ascii="仿宋_GB2312" w:eastAsia="仿宋_GB2312"/>
          <w:sz w:val="32"/>
          <w:szCs w:val="32"/>
        </w:rPr>
        <w:t xml:space="preserve">    5.高性能纤维功能性材料纺织化纤行业年产值超</w:t>
      </w:r>
      <w:r>
        <w:rPr>
          <w:rFonts w:hint="eastAsia" w:ascii="仿宋_GB2312" w:hAnsi="Calibri" w:eastAsia="仿宋_GB2312" w:cs="Times New Roman"/>
          <w:sz w:val="32"/>
          <w:szCs w:val="32"/>
        </w:rPr>
        <w:t>3000亿元。</w:t>
      </w:r>
      <w:bookmarkStart w:id="0" w:name="_GoBack"/>
      <w:bookmarkEnd w:id="0"/>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1D8C"/>
    <w:rsid w:val="0000743D"/>
    <w:rsid w:val="0003374A"/>
    <w:rsid w:val="00075D2C"/>
    <w:rsid w:val="0008432C"/>
    <w:rsid w:val="000A11DE"/>
    <w:rsid w:val="000A78F3"/>
    <w:rsid w:val="0011088B"/>
    <w:rsid w:val="001211BE"/>
    <w:rsid w:val="00134CF3"/>
    <w:rsid w:val="00140122"/>
    <w:rsid w:val="00151D72"/>
    <w:rsid w:val="0015703D"/>
    <w:rsid w:val="0016072A"/>
    <w:rsid w:val="001B1183"/>
    <w:rsid w:val="001D27A3"/>
    <w:rsid w:val="001F0A67"/>
    <w:rsid w:val="0021584C"/>
    <w:rsid w:val="002272B1"/>
    <w:rsid w:val="0025213E"/>
    <w:rsid w:val="0027058B"/>
    <w:rsid w:val="00291A2B"/>
    <w:rsid w:val="003141CC"/>
    <w:rsid w:val="00316D3A"/>
    <w:rsid w:val="00336F42"/>
    <w:rsid w:val="00382E0B"/>
    <w:rsid w:val="003B1EB4"/>
    <w:rsid w:val="003D1B65"/>
    <w:rsid w:val="003E45A2"/>
    <w:rsid w:val="003E5387"/>
    <w:rsid w:val="0042170C"/>
    <w:rsid w:val="00424A75"/>
    <w:rsid w:val="00480435"/>
    <w:rsid w:val="0049594F"/>
    <w:rsid w:val="004C2B4F"/>
    <w:rsid w:val="004F1672"/>
    <w:rsid w:val="004F59B1"/>
    <w:rsid w:val="0051442A"/>
    <w:rsid w:val="00515945"/>
    <w:rsid w:val="005268FD"/>
    <w:rsid w:val="00553F02"/>
    <w:rsid w:val="00563AA1"/>
    <w:rsid w:val="005925F6"/>
    <w:rsid w:val="005A3D4C"/>
    <w:rsid w:val="005A726C"/>
    <w:rsid w:val="005B2C84"/>
    <w:rsid w:val="005B778C"/>
    <w:rsid w:val="005D26AC"/>
    <w:rsid w:val="00606210"/>
    <w:rsid w:val="0061403F"/>
    <w:rsid w:val="006476BA"/>
    <w:rsid w:val="00670933"/>
    <w:rsid w:val="00676866"/>
    <w:rsid w:val="006B297D"/>
    <w:rsid w:val="006B4AEF"/>
    <w:rsid w:val="006C5F28"/>
    <w:rsid w:val="006D1308"/>
    <w:rsid w:val="0072669B"/>
    <w:rsid w:val="00741997"/>
    <w:rsid w:val="007F2421"/>
    <w:rsid w:val="00831D47"/>
    <w:rsid w:val="00841E90"/>
    <w:rsid w:val="00857499"/>
    <w:rsid w:val="00871B3E"/>
    <w:rsid w:val="008C1941"/>
    <w:rsid w:val="008E5093"/>
    <w:rsid w:val="008E53D6"/>
    <w:rsid w:val="00930B63"/>
    <w:rsid w:val="00942385"/>
    <w:rsid w:val="00A2344E"/>
    <w:rsid w:val="00A40483"/>
    <w:rsid w:val="00A41683"/>
    <w:rsid w:val="00A63E63"/>
    <w:rsid w:val="00A67AD5"/>
    <w:rsid w:val="00AA7D8D"/>
    <w:rsid w:val="00AC2B56"/>
    <w:rsid w:val="00AD34A7"/>
    <w:rsid w:val="00AE3760"/>
    <w:rsid w:val="00AF0AD5"/>
    <w:rsid w:val="00AF609B"/>
    <w:rsid w:val="00B264D1"/>
    <w:rsid w:val="00B5353F"/>
    <w:rsid w:val="00B774C7"/>
    <w:rsid w:val="00B86283"/>
    <w:rsid w:val="00B905A3"/>
    <w:rsid w:val="00BA2CA9"/>
    <w:rsid w:val="00BC6AC1"/>
    <w:rsid w:val="00BD7D39"/>
    <w:rsid w:val="00BE1D8C"/>
    <w:rsid w:val="00C12403"/>
    <w:rsid w:val="00C45FF8"/>
    <w:rsid w:val="00C67AEE"/>
    <w:rsid w:val="00C911B0"/>
    <w:rsid w:val="00CA021B"/>
    <w:rsid w:val="00CA248E"/>
    <w:rsid w:val="00CE0271"/>
    <w:rsid w:val="00D00EA7"/>
    <w:rsid w:val="00D1411F"/>
    <w:rsid w:val="00D436C3"/>
    <w:rsid w:val="00E1400B"/>
    <w:rsid w:val="00E1678A"/>
    <w:rsid w:val="00E249E6"/>
    <w:rsid w:val="00E674D6"/>
    <w:rsid w:val="00EA031A"/>
    <w:rsid w:val="00EB141B"/>
    <w:rsid w:val="00EF7110"/>
    <w:rsid w:val="00F20399"/>
    <w:rsid w:val="00F37B34"/>
    <w:rsid w:val="00FB2AC9"/>
    <w:rsid w:val="00FC5BA8"/>
    <w:rsid w:val="00FD1708"/>
    <w:rsid w:val="00FD7DB7"/>
    <w:rsid w:val="00FE51FC"/>
    <w:rsid w:val="010F1DA1"/>
    <w:rsid w:val="02BC3862"/>
    <w:rsid w:val="03EF1A15"/>
    <w:rsid w:val="05E05ABA"/>
    <w:rsid w:val="06093262"/>
    <w:rsid w:val="06695AAF"/>
    <w:rsid w:val="06B156A8"/>
    <w:rsid w:val="07404265"/>
    <w:rsid w:val="07465DF0"/>
    <w:rsid w:val="0C88116B"/>
    <w:rsid w:val="0D34766E"/>
    <w:rsid w:val="0FBD8CA5"/>
    <w:rsid w:val="10E566CA"/>
    <w:rsid w:val="1285796E"/>
    <w:rsid w:val="12E70F75"/>
    <w:rsid w:val="16D04FA7"/>
    <w:rsid w:val="1A75281D"/>
    <w:rsid w:val="1B1F6C2C"/>
    <w:rsid w:val="1C273FEB"/>
    <w:rsid w:val="1D862F93"/>
    <w:rsid w:val="1EB27864"/>
    <w:rsid w:val="20D40C89"/>
    <w:rsid w:val="24BA68B8"/>
    <w:rsid w:val="257034D2"/>
    <w:rsid w:val="288B6F64"/>
    <w:rsid w:val="290A4A78"/>
    <w:rsid w:val="2B8A00F2"/>
    <w:rsid w:val="2E191219"/>
    <w:rsid w:val="31AA504A"/>
    <w:rsid w:val="32044820"/>
    <w:rsid w:val="32851613"/>
    <w:rsid w:val="33775400"/>
    <w:rsid w:val="34F46194"/>
    <w:rsid w:val="371D62BE"/>
    <w:rsid w:val="37D0710B"/>
    <w:rsid w:val="388C7258"/>
    <w:rsid w:val="390A508C"/>
    <w:rsid w:val="3AE8273F"/>
    <w:rsid w:val="3BE23A25"/>
    <w:rsid w:val="3CD4757C"/>
    <w:rsid w:val="3D023F8C"/>
    <w:rsid w:val="3D075F9D"/>
    <w:rsid w:val="3D74650C"/>
    <w:rsid w:val="3FF1F44F"/>
    <w:rsid w:val="40E439A9"/>
    <w:rsid w:val="413E755D"/>
    <w:rsid w:val="44B3209C"/>
    <w:rsid w:val="470D3C59"/>
    <w:rsid w:val="489906CD"/>
    <w:rsid w:val="4B016AF9"/>
    <w:rsid w:val="4D8253F2"/>
    <w:rsid w:val="4DA92202"/>
    <w:rsid w:val="50106568"/>
    <w:rsid w:val="56DE4CCA"/>
    <w:rsid w:val="614442C4"/>
    <w:rsid w:val="61655CDB"/>
    <w:rsid w:val="63DF530C"/>
    <w:rsid w:val="67BF6452"/>
    <w:rsid w:val="67EC2FBF"/>
    <w:rsid w:val="67FB7927"/>
    <w:rsid w:val="68036CB3"/>
    <w:rsid w:val="686D6AE2"/>
    <w:rsid w:val="6F1E43A6"/>
    <w:rsid w:val="707A1599"/>
    <w:rsid w:val="71402B34"/>
    <w:rsid w:val="72B15531"/>
    <w:rsid w:val="73ED98C6"/>
    <w:rsid w:val="743C1691"/>
    <w:rsid w:val="74665F0C"/>
    <w:rsid w:val="76157B85"/>
    <w:rsid w:val="76DD5071"/>
    <w:rsid w:val="7977DDE3"/>
    <w:rsid w:val="7A37546A"/>
    <w:rsid w:val="7AFED296"/>
    <w:rsid w:val="7B594DA1"/>
    <w:rsid w:val="7BF72207"/>
    <w:rsid w:val="7C37077C"/>
    <w:rsid w:val="7C72188D"/>
    <w:rsid w:val="7CA0464C"/>
    <w:rsid w:val="7D86298E"/>
    <w:rsid w:val="7FE84988"/>
    <w:rsid w:val="B8D5DB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next w:val="1"/>
    <w:qFormat/>
    <w:uiPriority w:val="0"/>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paragraph" w:customStyle="1" w:styleId="11">
    <w:name w:val="列出段落1"/>
    <w:basedOn w:val="1"/>
    <w:qFormat/>
    <w:uiPriority w:val="34"/>
    <w:pPr>
      <w:ind w:firstLine="420"/>
    </w:pPr>
    <w:rPr>
      <w:sz w:val="24"/>
      <w:szCs w:val="24"/>
    </w:rPr>
  </w:style>
  <w:style w:type="paragraph" w:customStyle="1" w:styleId="12">
    <w:name w:val="Acetate"/>
    <w:basedOn w:val="1"/>
    <w:next w:val="13"/>
    <w:qFormat/>
    <w:uiPriority w:val="0"/>
    <w:pPr>
      <w:textAlignment w:val="baseline"/>
    </w:pPr>
    <w:rPr>
      <w:rFonts w:ascii="Calibri" w:hAnsi="Calibri" w:eastAsia="宋体"/>
      <w:sz w:val="18"/>
      <w:szCs w:val="18"/>
    </w:rPr>
  </w:style>
  <w:style w:type="paragraph" w:customStyle="1" w:styleId="13">
    <w:name w:val="HtmlPre"/>
    <w:basedOn w:val="1"/>
    <w:qFormat/>
    <w:uiPriority w:val="0"/>
    <w:pPr>
      <w:jc w:val="left"/>
      <w:textAlignment w:val="baseline"/>
    </w:pPr>
    <w:rPr>
      <w:rFonts w:ascii="宋体" w:hAnsi="宋体" w:eastAsia="宋体"/>
      <w:kern w:val="0"/>
      <w:sz w:val="24"/>
      <w:szCs w:val="24"/>
    </w:rPr>
  </w:style>
  <w:style w:type="paragraph" w:customStyle="1" w:styleId="14">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621</Words>
  <Characters>3546</Characters>
  <Lines>29</Lines>
  <Paragraphs>8</Paragraphs>
  <TotalTime>6</TotalTime>
  <ScaleCrop>false</ScaleCrop>
  <LinksUpToDate>false</LinksUpToDate>
  <CharactersWithSpaces>4159</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2021-12-29T18:20:00Z</dcterms:created>
  <dc:creator>AutoBVT</dc:creator>
  <cp:lastModifiedBy>杨惠</cp:lastModifiedBy>
  <dcterms:modified xsi:type="dcterms:W3CDTF">2022-06-01T12:13:15Z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806B4469FD05483A8FC13B4B2D013A31</vt:lpwstr>
  </property>
</Properties>
</file>