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atLeast"/>
        <w:rPr>
          <w:rFonts w:hint="eastAsia" w:ascii="宋体" w:hAnsi="宋体" w:eastAsia="宋体" w:cs="宋体"/>
          <w:b/>
          <w:sz w:val="32"/>
          <w:szCs w:val="32"/>
          <w:lang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2</w:t>
      </w:r>
    </w:p>
    <w:p>
      <w:pPr>
        <w:snapToGrid w:val="0"/>
        <w:spacing w:line="600" w:lineRule="exact"/>
        <w:jc w:val="center"/>
        <w:rPr>
          <w:rFonts w:ascii="宋体" w:hAnsi="宋体" w:eastAsia="宋体" w:cs="黑体"/>
          <w:b/>
          <w:spacing w:val="-10"/>
          <w:sz w:val="36"/>
          <w:szCs w:val="36"/>
        </w:rPr>
      </w:pPr>
      <w:r>
        <w:rPr>
          <w:rFonts w:hint="eastAsia" w:ascii="宋体" w:hAnsi="宋体" w:eastAsia="宋体"/>
          <w:b/>
          <w:sz w:val="36"/>
          <w:szCs w:val="36"/>
        </w:rPr>
        <w:t xml:space="preserve">   2021年重点产业产学研协同创新重大项目</w:t>
      </w:r>
      <w:r>
        <w:rPr>
          <w:rFonts w:hint="eastAsia" w:ascii="宋体" w:hAnsi="宋体" w:eastAsia="宋体"/>
          <w:b/>
          <w:spacing w:val="-10"/>
          <w:sz w:val="36"/>
          <w:szCs w:val="36"/>
        </w:rPr>
        <w:t>领域</w:t>
      </w:r>
      <w:r>
        <w:rPr>
          <w:rFonts w:ascii="宋体" w:hAnsi="宋体" w:eastAsia="宋体"/>
          <w:b/>
          <w:spacing w:val="-10"/>
          <w:sz w:val="36"/>
          <w:szCs w:val="36"/>
        </w:rPr>
        <w:t>方向</w:t>
      </w:r>
    </w:p>
    <w:p>
      <w:pPr>
        <w:snapToGrid w:val="0"/>
        <w:spacing w:line="460" w:lineRule="atLeast"/>
        <w:jc w:val="center"/>
        <w:rPr>
          <w:rFonts w:ascii="宋体" w:hAnsi="宋体"/>
          <w:b/>
          <w:sz w:val="44"/>
          <w:szCs w:val="44"/>
        </w:rPr>
      </w:pPr>
    </w:p>
    <w:tbl>
      <w:tblPr>
        <w:tblStyle w:val="2"/>
        <w:tblW w:w="9620" w:type="dxa"/>
        <w:tblInd w:w="97" w:type="dxa"/>
        <w:tblLayout w:type="autofit"/>
        <w:tblCellMar>
          <w:top w:w="0" w:type="dxa"/>
          <w:left w:w="108" w:type="dxa"/>
          <w:bottom w:w="0" w:type="dxa"/>
          <w:right w:w="108" w:type="dxa"/>
        </w:tblCellMar>
      </w:tblPr>
      <w:tblGrid>
        <w:gridCol w:w="440"/>
        <w:gridCol w:w="1297"/>
        <w:gridCol w:w="5645"/>
        <w:gridCol w:w="1276"/>
        <w:gridCol w:w="962"/>
      </w:tblGrid>
      <w:tr>
        <w:tblPrEx>
          <w:tblCellMar>
            <w:top w:w="0" w:type="dxa"/>
            <w:left w:w="108" w:type="dxa"/>
            <w:bottom w:w="0" w:type="dxa"/>
            <w:right w:w="108" w:type="dxa"/>
          </w:tblCellMar>
        </w:tblPrEx>
        <w:trPr>
          <w:trHeight w:val="576"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2"/>
                <w:szCs w:val="22"/>
              </w:rPr>
            </w:pPr>
            <w:r>
              <w:rPr>
                <w:rFonts w:hint="eastAsia" w:ascii="仿宋_GB2312" w:hAnsi="宋体" w:cs="宋体"/>
                <w:b/>
                <w:bCs/>
                <w:kern w:val="0"/>
                <w:sz w:val="22"/>
                <w:szCs w:val="22"/>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2"/>
                <w:szCs w:val="22"/>
              </w:rPr>
            </w:pPr>
            <w:r>
              <w:rPr>
                <w:rFonts w:hint="eastAsia" w:ascii="仿宋_GB2312" w:hAnsi="宋体" w:cs="宋体"/>
                <w:b/>
                <w:bCs/>
                <w:kern w:val="0"/>
                <w:sz w:val="22"/>
                <w:szCs w:val="22"/>
              </w:rPr>
              <w:t>重点产业</w:t>
            </w:r>
          </w:p>
        </w:tc>
        <w:tc>
          <w:tcPr>
            <w:tcW w:w="5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2"/>
                <w:szCs w:val="22"/>
              </w:rPr>
            </w:pPr>
            <w:r>
              <w:rPr>
                <w:rFonts w:hint="eastAsia" w:ascii="仿宋_GB2312" w:hAnsi="宋体" w:cs="宋体"/>
                <w:b/>
                <w:bCs/>
                <w:kern w:val="0"/>
                <w:sz w:val="22"/>
                <w:szCs w:val="22"/>
              </w:rPr>
              <w:t>重点领域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2"/>
                <w:szCs w:val="22"/>
              </w:rPr>
            </w:pPr>
            <w:r>
              <w:rPr>
                <w:rFonts w:hint="eastAsia" w:ascii="仿宋_GB2312" w:hAnsi="宋体" w:cs="宋体"/>
                <w:b/>
                <w:bCs/>
                <w:kern w:val="0"/>
                <w:sz w:val="22"/>
                <w:szCs w:val="22"/>
              </w:rPr>
              <w:t>领域代码</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b/>
                <w:bCs/>
                <w:kern w:val="0"/>
                <w:sz w:val="22"/>
                <w:szCs w:val="22"/>
              </w:rPr>
            </w:pPr>
            <w:r>
              <w:rPr>
                <w:rFonts w:hint="eastAsia" w:ascii="仿宋_GB2312" w:hAnsi="宋体" w:cs="宋体"/>
                <w:b/>
                <w:bCs/>
                <w:kern w:val="0"/>
                <w:sz w:val="22"/>
                <w:szCs w:val="22"/>
              </w:rPr>
              <w:t>业务处室</w:t>
            </w:r>
          </w:p>
        </w:tc>
      </w:tr>
      <w:tr>
        <w:tblPrEx>
          <w:tblCellMar>
            <w:top w:w="0" w:type="dxa"/>
            <w:left w:w="108" w:type="dxa"/>
            <w:bottom w:w="0" w:type="dxa"/>
            <w:right w:w="108" w:type="dxa"/>
          </w:tblCellMar>
        </w:tblPrEx>
        <w:trPr>
          <w:trHeight w:val="576"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集成电路、新型显示和5G通信</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射频芯片、视频芯片、图像传感器芯片、光通信芯片和AI芯片等芯片设计研发；集成电路的制造、封装、测试和高端材料、关键设备等关键核心技术攻关；激光投影显示、量子点LED显示、3D显示、Mini/Micro LED等关键技术攻关和新产品研发，推进虚拟现实（VR）、增强现实（AR）、混合现实（MR）等技术研发应用；5G移动通信的基带芯片、新型网络架构、高效传输、射频器件、高端靶材和光模块等关键核心技术研发与产业化。</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2021HZ01</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176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2</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新一代人工智能与区块链</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高级机器学习模型、大数据智能理论与技术、类脑认知与智能计算理论等前沿技术，开展以深度学习为核心的计算机视觉、语音识别、自然语言处理、新型人机交互、群体智能和自主决策控制等关键共性技术应用。区块链的高性能共识算法密码、智能合约、新型共识机制、安全隐私关键技术研发、数据链协同监管技术与示范应用。</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2021HZ02</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86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3</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物联网、大数据和工业互联网</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新一代物联网的高灵敏度、高可靠性智能传感器件和芯片，推进射频识别（RFID）、目标感知、传感器、智慧城市多维认知与智能萃取、云安全等核心技术领域和低功耗处理器等关键技术与产品器件研发应用。海量数据存储、数据分析发掘、数据可视化等关键技术研发，研制数据中心操作系统、云端融合操作系统。工业互联网高端传感器、工业级芯片、控制器、操作系统和低功耗广域网等关键技术研发和应用，工业网络安全关键技术研发与示范应用。</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2021HZ03</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145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4</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新能源</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新一代安全高效锂电池、全固态电池、燃料电池及其他存储转化器件装备技术；高效低成本风能、太阳能转化器件与装备产业化技术研究；氢能多途径高效制备、安全存储与氢燃料电池等高效利用技术链条；新能源汽车整车智能控制技术、高集成度的动力系统等关键技术研发；高集成电驱动系统专用变速器、混合动力总成系统集成等技术开发。</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2021HZ04</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140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5</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有机高分子材料</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合成树脂多功能化、减量化改性技术、增强增韧阻燃复合材料、高强度高模量增材制造材料；高性能碳纤维、芳纶纤维等高性能纤维及复合材料；高端聚烯烃、特种合成橡胶及工程塑料等先进化工材料；石墨烯、金属及高分子增材制造材料；含氟聚合物新材料、含氟精细化学品及中间体。</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2021HZ05</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133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6</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无机非金属材料</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新型照明、显示和第三代半导体材料与制备技术，研制新型固体激光与闪烁晶体材料与器件；形状记忆合金、自修复材料、智能仿生与超材料，液态金属、新型低温超导及低成本高温超导材料；金属硫化物、硼烯、黑磷等新型二维材料及其复合材料；单层薄层、高效分散石墨烯粉体及其复合材料、高品质大面积石墨烯薄膜工业制备技术、柔性电子器件大面积制备技术。</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2021HZ06</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2314"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7</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冶金、金属材料</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稀土永磁、储氢、发光、催化等高性能稀土功能材料和稀土资源高效综合利用技术；耐高温及耐蚀合金、高性能金属橡胶等高端装备用特种合金、高性能钢铁、高品质铝合金和硬质合金与特种金属材料。</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2021HZ07</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2868"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8</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基础制造工艺技术与基础零部件</w:t>
            </w:r>
          </w:p>
        </w:tc>
        <w:tc>
          <w:tcPr>
            <w:tcW w:w="564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围绕大型工程机械、高档数控机床等装备，研发高精度、高速度、长寿命的轴承、齿轮等传动装置，液气密元件、新型传感器、仪器仪表等高端智能元器件；研发铸、锻、焊、热处理及表面处理等节能环保新工艺新技术，开展以自动化、绿色加工、精密加工技术和新材料应用为依托的基础零部件研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2021HZ08</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2966"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9</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高档数控机床与机器人</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开发网络化多轴高档数控系统、伺服进给单元等功能部件，研发精密、高速、智能、复合数控机床和特种加工机床、高效柔性制造系统、增材制造装备；研发高可靠性、高性价比工业机器人以及安防、危险作业、救援、医疗等专用机器人。</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2021HZ09</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699"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10</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智能制造产品及系统</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开展智能制造产品与传感器、制造物联、移动互联网、自动控制、工业软件等技术的融合创新，加快研制智能成套工程机械、橡胶塑料机械等新一代智能化机械产品；开展智能汽车的智能传感、辅助驾驶、智能计算等关键系统技术开发与应用。</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2021HZ10</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高新处</w:t>
            </w:r>
          </w:p>
        </w:tc>
      </w:tr>
      <w:tr>
        <w:tblPrEx>
          <w:tblCellMar>
            <w:top w:w="0" w:type="dxa"/>
            <w:left w:w="108" w:type="dxa"/>
            <w:bottom w:w="0" w:type="dxa"/>
            <w:right w:w="108" w:type="dxa"/>
          </w:tblCellMar>
        </w:tblPrEx>
        <w:trPr>
          <w:trHeight w:val="1431"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11</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 xml:space="preserve">特色良种选育产业（食用菌） </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rPr>
                <w:rFonts w:ascii="仿宋_GB2312" w:hAnsi="仿宋" w:cs="宋体"/>
                <w:color w:val="000000"/>
                <w:kern w:val="0"/>
                <w:sz w:val="22"/>
                <w:szCs w:val="22"/>
              </w:rPr>
            </w:pPr>
            <w:r>
              <w:rPr>
                <w:rFonts w:hint="eastAsia" w:ascii="仿宋_GB2312" w:hAnsi="仿宋" w:cs="宋体"/>
                <w:color w:val="000000"/>
                <w:kern w:val="0"/>
                <w:sz w:val="22"/>
                <w:szCs w:val="22"/>
              </w:rPr>
              <w:t>针对我省地方特色优势食用菌品种——秀珍菇，开展品种选育和工厂化栽培技术研究。</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2021NZ01</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农业处</w:t>
            </w:r>
          </w:p>
        </w:tc>
      </w:tr>
      <w:tr>
        <w:tblPrEx>
          <w:tblCellMar>
            <w:top w:w="0" w:type="dxa"/>
            <w:left w:w="108" w:type="dxa"/>
            <w:bottom w:w="0" w:type="dxa"/>
            <w:right w:w="108" w:type="dxa"/>
          </w:tblCellMar>
        </w:tblPrEx>
        <w:trPr>
          <w:trHeight w:val="1937"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12</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 xml:space="preserve">特色良种选育产业（特色花卉） </w:t>
            </w:r>
          </w:p>
        </w:tc>
        <w:tc>
          <w:tcPr>
            <w:tcW w:w="564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color w:val="000000"/>
                <w:kern w:val="0"/>
                <w:sz w:val="22"/>
                <w:szCs w:val="22"/>
              </w:rPr>
            </w:pPr>
            <w:r>
              <w:rPr>
                <w:rFonts w:hint="eastAsia" w:ascii="仿宋_GB2312" w:hAnsi="仿宋" w:cs="宋体"/>
                <w:color w:val="000000"/>
                <w:kern w:val="0"/>
                <w:sz w:val="22"/>
                <w:szCs w:val="22"/>
              </w:rPr>
              <w:t>针对我省特色花卉优势品种兰花、三角梅等，开展品种选育和设施栽培技术研究。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2021NZ02</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农业处</w:t>
            </w:r>
          </w:p>
        </w:tc>
      </w:tr>
      <w:tr>
        <w:tblPrEx>
          <w:tblCellMar>
            <w:top w:w="0" w:type="dxa"/>
            <w:left w:w="108" w:type="dxa"/>
            <w:bottom w:w="0" w:type="dxa"/>
            <w:right w:w="108" w:type="dxa"/>
          </w:tblCellMar>
        </w:tblPrEx>
        <w:trPr>
          <w:trHeight w:val="2310"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13</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高效安全种养产业</w:t>
            </w:r>
          </w:p>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（海水养殖，企业牵头）</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针对我省海水养殖业转型升级需求，开展湾外离岸智能规模养殖设施研发与示范。</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2021NZ03</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农业处</w:t>
            </w:r>
          </w:p>
        </w:tc>
      </w:tr>
      <w:tr>
        <w:tblPrEx>
          <w:tblCellMar>
            <w:top w:w="0" w:type="dxa"/>
            <w:left w:w="108" w:type="dxa"/>
            <w:bottom w:w="0" w:type="dxa"/>
            <w:right w:w="108" w:type="dxa"/>
          </w:tblCellMar>
        </w:tblPrEx>
        <w:trPr>
          <w:trHeight w:val="2082"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14</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高效安全种养产业</w:t>
            </w:r>
          </w:p>
          <w:p>
            <w:pPr>
              <w:widowControl/>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 xml:space="preserve">（饲料，企业牵头） </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针对我省畜禽与水产养殖转型升级需求，研发和推广菌酶益生元协同作用的主要鱼类饲料和中草药抗病性能的猪饲料。</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2021NZ04</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农业处</w:t>
            </w:r>
          </w:p>
        </w:tc>
      </w:tr>
      <w:tr>
        <w:tblPrEx>
          <w:tblCellMar>
            <w:top w:w="0" w:type="dxa"/>
            <w:left w:w="108" w:type="dxa"/>
            <w:bottom w:w="0" w:type="dxa"/>
            <w:right w:w="108" w:type="dxa"/>
          </w:tblCellMar>
        </w:tblPrEx>
        <w:trPr>
          <w:trHeight w:val="1505"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15</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农业重大疫病防控产业</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textAlignment w:val="center"/>
              <w:rPr>
                <w:rFonts w:ascii="仿宋_GB2312" w:hAnsi="仿宋" w:cs="宋体"/>
                <w:color w:val="000000"/>
                <w:kern w:val="0"/>
                <w:sz w:val="22"/>
                <w:szCs w:val="22"/>
              </w:rPr>
            </w:pPr>
            <w:r>
              <w:rPr>
                <w:rFonts w:hint="eastAsia" w:ascii="仿宋_GB2312" w:hAnsi="仿宋" w:cs="宋体"/>
                <w:color w:val="000000"/>
                <w:kern w:val="0"/>
                <w:sz w:val="22"/>
                <w:szCs w:val="22"/>
              </w:rPr>
              <w:t>针对我省亚热带作物重大病虫害开展绿色防控技术研发和推广；针对我省地方特色水果香蕉深入开展枯萎病防治技术研发和推广。</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2021NZ05</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农业处</w:t>
            </w:r>
          </w:p>
        </w:tc>
      </w:tr>
      <w:tr>
        <w:tblPrEx>
          <w:tblCellMar>
            <w:top w:w="0" w:type="dxa"/>
            <w:left w:w="108" w:type="dxa"/>
            <w:bottom w:w="0" w:type="dxa"/>
            <w:right w:w="108" w:type="dxa"/>
          </w:tblCellMar>
        </w:tblPrEx>
        <w:trPr>
          <w:trHeight w:val="1668"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16</w:t>
            </w:r>
          </w:p>
        </w:tc>
        <w:tc>
          <w:tcPr>
            <w:tcW w:w="1297" w:type="dxa"/>
            <w:tcBorders>
              <w:top w:val="nil"/>
              <w:left w:val="nil"/>
              <w:bottom w:val="single" w:color="auto" w:sz="4" w:space="0"/>
              <w:right w:val="single" w:color="auto" w:sz="4" w:space="0"/>
            </w:tcBorders>
            <w:shd w:val="clear" w:color="auto" w:fill="auto"/>
            <w:vAlign w:val="center"/>
          </w:tcPr>
          <w:p>
            <w:pPr>
              <w:shd w:val="clear" w:color="auto" w:fill="FFFFFF"/>
              <w:adjustRightInd w:val="0"/>
              <w:snapToGrid w:val="0"/>
              <w:spacing w:line="480" w:lineRule="exact"/>
              <w:jc w:val="center"/>
              <w:rPr>
                <w:rFonts w:ascii="仿宋_GB2312" w:hAnsi="仿宋" w:cs="宋体"/>
                <w:color w:val="000000"/>
                <w:kern w:val="0"/>
                <w:sz w:val="22"/>
                <w:szCs w:val="22"/>
              </w:rPr>
            </w:pPr>
            <w:r>
              <w:rPr>
                <w:rFonts w:hint="eastAsia" w:ascii="仿宋_GB2312" w:hAnsi="仿宋" w:cs="宋体"/>
                <w:color w:val="000000"/>
                <w:kern w:val="0"/>
                <w:sz w:val="22"/>
                <w:szCs w:val="22"/>
              </w:rPr>
              <w:t>生物与新医药产业（药物新品种）</w:t>
            </w:r>
          </w:p>
        </w:tc>
        <w:tc>
          <w:tcPr>
            <w:tcW w:w="5645" w:type="dxa"/>
            <w:tcBorders>
              <w:top w:val="nil"/>
              <w:left w:val="nil"/>
              <w:bottom w:val="single" w:color="auto" w:sz="4" w:space="0"/>
              <w:right w:val="single" w:color="auto" w:sz="4" w:space="0"/>
            </w:tcBorders>
            <w:shd w:val="clear" w:color="auto" w:fill="auto"/>
            <w:vAlign w:val="center"/>
          </w:tcPr>
          <w:p>
            <w:pPr>
              <w:shd w:val="clear" w:color="auto" w:fill="FFFFFF"/>
              <w:adjustRightInd w:val="0"/>
              <w:snapToGrid w:val="0"/>
              <w:spacing w:line="480" w:lineRule="exact"/>
              <w:rPr>
                <w:rFonts w:ascii="仿宋_GB2312" w:hAnsi="仿宋" w:cs="宋体"/>
                <w:color w:val="000000"/>
                <w:kern w:val="0"/>
                <w:sz w:val="22"/>
                <w:szCs w:val="22"/>
              </w:rPr>
            </w:pPr>
            <w:r>
              <w:rPr>
                <w:rFonts w:hint="eastAsia" w:ascii="仿宋_GB2312" w:hAnsi="仿宋" w:cs="宋体"/>
                <w:color w:val="000000"/>
                <w:kern w:val="0"/>
                <w:sz w:val="22"/>
                <w:szCs w:val="22"/>
              </w:rPr>
              <w:t>1.重点针对恶性肿瘤、心脑血管疾病、传染性疾病等重大疾病，支持拥有自主知识产权，临床价值大，市场前景好，处于</w:t>
            </w:r>
            <w:r>
              <w:rPr>
                <w:rFonts w:hint="eastAsia" w:ascii="仿宋_GB2312" w:hAnsi="仿宋" w:cs="宋体"/>
                <w:b/>
                <w:color w:val="000000"/>
                <w:kern w:val="0"/>
                <w:sz w:val="22"/>
                <w:szCs w:val="22"/>
              </w:rPr>
              <w:t>临床前</w:t>
            </w:r>
            <w:r>
              <w:rPr>
                <w:rFonts w:hint="eastAsia" w:ascii="仿宋_GB2312" w:hAnsi="仿宋" w:cs="宋体"/>
                <w:color w:val="000000"/>
                <w:kern w:val="0"/>
                <w:sz w:val="22"/>
                <w:szCs w:val="22"/>
              </w:rPr>
              <w:t>研究阶段的创新化学药、中药、生物药关键技术和新产品研发（项目完成后要求通过国家药监局临床试验备案）。</w:t>
            </w:r>
          </w:p>
          <w:p>
            <w:pPr>
              <w:shd w:val="clear" w:color="auto" w:fill="FFFFFF"/>
              <w:adjustRightInd w:val="0"/>
              <w:snapToGrid w:val="0"/>
              <w:spacing w:line="480" w:lineRule="exact"/>
              <w:rPr>
                <w:rFonts w:ascii="仿宋_GB2312" w:hAnsi="仿宋" w:cs="宋体"/>
                <w:color w:val="000000"/>
                <w:kern w:val="0"/>
                <w:sz w:val="22"/>
                <w:szCs w:val="22"/>
              </w:rPr>
            </w:pPr>
            <w:r>
              <w:rPr>
                <w:rFonts w:hint="eastAsia" w:ascii="仿宋_GB2312" w:hAnsi="仿宋" w:cs="宋体"/>
                <w:color w:val="000000"/>
                <w:kern w:val="0"/>
                <w:sz w:val="22"/>
                <w:szCs w:val="22"/>
              </w:rPr>
              <w:t>2.重点开展基于纳米粒、微乳、脂质体、微球等给药系统的新型注射剂、缓控释及靶向等高端药物制剂关键技术和新产品研发（项目完成后要求通过国家药监局临床试验备案）。</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2021YZ01</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社发处</w:t>
            </w:r>
          </w:p>
        </w:tc>
      </w:tr>
      <w:tr>
        <w:tblPrEx>
          <w:tblCellMar>
            <w:top w:w="0" w:type="dxa"/>
            <w:left w:w="108" w:type="dxa"/>
            <w:bottom w:w="0" w:type="dxa"/>
            <w:right w:w="108" w:type="dxa"/>
          </w:tblCellMar>
        </w:tblPrEx>
        <w:trPr>
          <w:trHeight w:val="2776"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17</w:t>
            </w:r>
          </w:p>
        </w:tc>
        <w:tc>
          <w:tcPr>
            <w:tcW w:w="1297" w:type="dxa"/>
            <w:tcBorders>
              <w:top w:val="nil"/>
              <w:left w:val="nil"/>
              <w:bottom w:val="single" w:color="auto" w:sz="4" w:space="0"/>
              <w:right w:val="single" w:color="auto" w:sz="4" w:space="0"/>
            </w:tcBorders>
            <w:shd w:val="clear" w:color="auto" w:fill="auto"/>
            <w:vAlign w:val="center"/>
          </w:tcPr>
          <w:p>
            <w:pPr>
              <w:shd w:val="clear" w:color="auto" w:fill="FFFFFF"/>
              <w:adjustRightInd w:val="0"/>
              <w:snapToGrid w:val="0"/>
              <w:spacing w:line="480" w:lineRule="exact"/>
              <w:jc w:val="center"/>
              <w:rPr>
                <w:rFonts w:ascii="仿宋_GB2312" w:hAnsi="仿宋" w:cs="宋体"/>
                <w:kern w:val="0"/>
                <w:sz w:val="22"/>
                <w:szCs w:val="22"/>
              </w:rPr>
            </w:pPr>
            <w:r>
              <w:rPr>
                <w:rFonts w:hint="eastAsia" w:ascii="仿宋_GB2312" w:hAnsi="仿宋" w:cs="宋体"/>
                <w:kern w:val="0"/>
                <w:sz w:val="22"/>
                <w:szCs w:val="22"/>
              </w:rPr>
              <w:t>生物与新医药产业（医疗器械）</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kern w:val="0"/>
                <w:sz w:val="22"/>
                <w:szCs w:val="22"/>
              </w:rPr>
            </w:pPr>
            <w:r>
              <w:rPr>
                <w:rFonts w:hint="eastAsia" w:ascii="仿宋_GB2312" w:hAnsi="仿宋" w:cs="宋体"/>
                <w:kern w:val="0"/>
                <w:sz w:val="22"/>
                <w:szCs w:val="22"/>
              </w:rPr>
              <w:t>重点研制数字医疗影像、新型放疗和热疗、全自动临床检验等高端诊疗设备，开发微创介入、外科植入等医用材料，研发智能化康复辅助设备产品和移动健康设备，研制基因测序、分子诊断、化学发光免疫分析、新型即时检测等体外诊断设备和体外诊断试剂（项目完成后要求获得国家药监局医疗器械证书）。</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2021YZ02</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社发处</w:t>
            </w:r>
          </w:p>
        </w:tc>
      </w:tr>
      <w:tr>
        <w:tblPrEx>
          <w:tblCellMar>
            <w:top w:w="0" w:type="dxa"/>
            <w:left w:w="108" w:type="dxa"/>
            <w:bottom w:w="0" w:type="dxa"/>
            <w:right w:w="108" w:type="dxa"/>
          </w:tblCellMar>
        </w:tblPrEx>
        <w:trPr>
          <w:trHeight w:val="1596" w:hRule="atLeast"/>
        </w:trPr>
        <w:tc>
          <w:tcPr>
            <w:tcW w:w="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18</w:t>
            </w:r>
          </w:p>
        </w:tc>
        <w:tc>
          <w:tcPr>
            <w:tcW w:w="1297" w:type="dxa"/>
            <w:tcBorders>
              <w:top w:val="single" w:color="auto" w:sz="4" w:space="0"/>
              <w:left w:val="nil"/>
              <w:bottom w:val="single" w:color="auto" w:sz="4" w:space="0"/>
              <w:right w:val="single" w:color="auto" w:sz="4" w:space="0"/>
            </w:tcBorders>
            <w:shd w:val="clear" w:color="auto" w:fill="auto"/>
            <w:vAlign w:val="center"/>
          </w:tcPr>
          <w:p>
            <w:pPr>
              <w:spacing w:line="480" w:lineRule="exact"/>
              <w:jc w:val="center"/>
              <w:rPr>
                <w:rFonts w:ascii="仿宋_GB2312" w:hAnsi="仿宋" w:cs="宋体"/>
                <w:color w:val="000000"/>
                <w:kern w:val="0"/>
                <w:sz w:val="22"/>
                <w:szCs w:val="22"/>
              </w:rPr>
            </w:pPr>
            <w:r>
              <w:rPr>
                <w:rFonts w:hint="eastAsia" w:ascii="仿宋_GB2312" w:hAnsi="仿宋" w:cs="宋体"/>
                <w:kern w:val="0"/>
                <w:sz w:val="22"/>
                <w:szCs w:val="22"/>
              </w:rPr>
              <w:t>人口健康产业（重大疾病防治）</w:t>
            </w:r>
          </w:p>
        </w:tc>
        <w:tc>
          <w:tcPr>
            <w:tcW w:w="5645"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kern w:val="0"/>
                <w:sz w:val="22"/>
                <w:szCs w:val="22"/>
              </w:rPr>
            </w:pPr>
            <w:r>
              <w:rPr>
                <w:rFonts w:hint="eastAsia" w:ascii="仿宋_GB2312" w:hAnsi="仿宋" w:cs="宋体"/>
                <w:kern w:val="0"/>
                <w:sz w:val="22"/>
                <w:szCs w:val="22"/>
              </w:rPr>
              <w:t>重点开展心脑血管疾病、恶性肿瘤、血液疾病、老年疾病、妇产疾病、儿童疾病和生殖健康等领域临床诊疗关键技术研究。</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2021YZ03</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社发处</w:t>
            </w:r>
          </w:p>
        </w:tc>
      </w:tr>
      <w:tr>
        <w:tblPrEx>
          <w:tblCellMar>
            <w:top w:w="0" w:type="dxa"/>
            <w:left w:w="108" w:type="dxa"/>
            <w:bottom w:w="0" w:type="dxa"/>
            <w:right w:w="108" w:type="dxa"/>
          </w:tblCellMar>
        </w:tblPrEx>
        <w:trPr>
          <w:trHeight w:val="1368"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19</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kern w:val="0"/>
                <w:sz w:val="22"/>
                <w:szCs w:val="22"/>
              </w:rPr>
              <w:t>环保产业（环境保护治理与资源综合利用）</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kern w:val="0"/>
                <w:sz w:val="22"/>
                <w:szCs w:val="22"/>
              </w:rPr>
            </w:pPr>
            <w:r>
              <w:rPr>
                <w:rFonts w:hint="eastAsia" w:ascii="仿宋_GB2312" w:hAnsi="仿宋" w:cs="宋体"/>
                <w:kern w:val="0"/>
                <w:sz w:val="22"/>
                <w:szCs w:val="22"/>
              </w:rPr>
              <w:t>重点开展危险废物处置技术，挥发性有机污染物治理技术，水污染、大气污染防治技术设备及其配套产品，垃圾处理技术设备和环保药剂等研究。</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2021YZ04</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社发处</w:t>
            </w:r>
          </w:p>
        </w:tc>
      </w:tr>
      <w:tr>
        <w:tblPrEx>
          <w:tblCellMar>
            <w:top w:w="0" w:type="dxa"/>
            <w:left w:w="108" w:type="dxa"/>
            <w:bottom w:w="0" w:type="dxa"/>
            <w:right w:w="108" w:type="dxa"/>
          </w:tblCellMar>
        </w:tblPrEx>
        <w:trPr>
          <w:trHeight w:val="273" w:hRule="atLeast"/>
        </w:trPr>
        <w:tc>
          <w:tcPr>
            <w:tcW w:w="4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 w:cs="宋体"/>
                <w:kern w:val="0"/>
                <w:sz w:val="22"/>
                <w:szCs w:val="22"/>
              </w:rPr>
            </w:pPr>
            <w:r>
              <w:rPr>
                <w:rFonts w:hint="eastAsia" w:ascii="仿宋_GB2312" w:hAnsi="仿宋" w:cs="宋体"/>
                <w:kern w:val="0"/>
                <w:sz w:val="22"/>
                <w:szCs w:val="22"/>
              </w:rPr>
              <w:t>20</w:t>
            </w:r>
          </w:p>
        </w:tc>
        <w:tc>
          <w:tcPr>
            <w:tcW w:w="1297"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ascii="仿宋_GB2312" w:hAnsi="仿宋" w:cs="宋体"/>
                <w:color w:val="000000"/>
                <w:kern w:val="0"/>
                <w:sz w:val="22"/>
                <w:szCs w:val="22"/>
              </w:rPr>
            </w:pPr>
            <w:r>
              <w:rPr>
                <w:rFonts w:hint="eastAsia" w:ascii="仿宋_GB2312" w:hAnsi="仿宋" w:cs="宋体"/>
                <w:kern w:val="0"/>
                <w:sz w:val="22"/>
                <w:szCs w:val="22"/>
              </w:rPr>
              <w:t>公共安全服务产业（公共安全关键技术与装备）</w:t>
            </w:r>
          </w:p>
        </w:tc>
        <w:tc>
          <w:tcPr>
            <w:tcW w:w="5645"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仿宋" w:cs="宋体"/>
                <w:kern w:val="0"/>
                <w:sz w:val="22"/>
                <w:szCs w:val="22"/>
              </w:rPr>
            </w:pPr>
            <w:r>
              <w:rPr>
                <w:rFonts w:hint="eastAsia" w:ascii="仿宋_GB2312" w:hAnsi="仿宋" w:cs="宋体"/>
                <w:kern w:val="0"/>
                <w:sz w:val="22"/>
                <w:szCs w:val="22"/>
              </w:rPr>
              <w:t>重点开展食品质量安全监控关键技术及设备的研发与示范；开展气象、海洋、地震等自然灾害的监测预报预警及防范技术和设备，城市火灾、恐怖袭击等突发事件防范与处置技术研究。</w:t>
            </w:r>
          </w:p>
        </w:tc>
        <w:tc>
          <w:tcPr>
            <w:tcW w:w="1276"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2021YZ05</w:t>
            </w:r>
          </w:p>
        </w:tc>
        <w:tc>
          <w:tcPr>
            <w:tcW w:w="962"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ascii="仿宋_GB2312" w:hAnsi="宋体" w:cs="宋体"/>
                <w:kern w:val="0"/>
                <w:sz w:val="22"/>
                <w:szCs w:val="22"/>
              </w:rPr>
            </w:pPr>
            <w:r>
              <w:rPr>
                <w:rFonts w:hint="eastAsia" w:ascii="仿宋_GB2312" w:hAnsi="宋体" w:cs="宋体"/>
                <w:kern w:val="0"/>
                <w:sz w:val="22"/>
                <w:szCs w:val="22"/>
              </w:rPr>
              <w:t>社发处</w:t>
            </w:r>
          </w:p>
        </w:tc>
      </w:tr>
    </w:tbl>
    <w:p>
      <w:pPr>
        <w:rPr>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D7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2021-02-09T00:55:24Z</dcterms:created>
  <dc:creator>Administrator</dc:creator>
  <cp:lastModifiedBy>寒菲雪</cp:lastModifiedBy>
  <dcterms:modified xsi:type="dcterms:W3CDTF">2021-02-09T00:55:29Z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