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ind w:left="0" w:leftChars="0" w:right="0" w:righ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ind w:left="0" w:leftChars="0" w:right="0" w:righ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新办企业、小微企业劳动用工合规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办事指南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服务对象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福州市辖区内有劳动用工合规指引需求的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新办企业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注册登记一年内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、小微企业（一般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从业人员100人以下的小型、微型企业）。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服务事项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新办企业、小微企业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劳动合同管理指引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新办企业、小微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劳动合同档案管理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订立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履行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变更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解除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终止劳动合同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程序提供指导服务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新办企业、小微企业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劳动规章制度指引。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新办企业、小微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招聘与录用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劳动报酬、工作时间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休息休假、劳动安全卫生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女职工和未成年工特殊保护、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培训、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福利、劳动纪律、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Hans"/>
        </w:rPr>
        <w:t>竞业限制与保密制度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以及劳动定额管理等规章制度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提供指导服务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申请资料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营业执照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授权委托书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原件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被授权人身份证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《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  <w:lang w:val="en-US" w:eastAsia="zh-Hans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劳动用工合规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指引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申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请表》（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原件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.企业需指引的有关材料（复印件）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以上材料可提供扫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服务流程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申请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申请企业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通过线上或线下方式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将申请资料提交至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劳动关系公共服务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办理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根据申请企业的申请事项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安排律师办理该项事务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办结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为申请企业提供合理化建议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服务方式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免费提供线上线下劳动关系公共服务。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六、承诺时限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服务时间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冬令时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上午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30-12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00；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下午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30-18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夏令时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上午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30-12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00；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下午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00-18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节假日除外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八、服务电话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电话：0591-87503151；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邮箱：fzldgxzx@163.com。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4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九、监督电话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4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0591-83368710（福州市人社局劳动关系处）。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十、办理地点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福州市鼓楼区古田路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号劳动大厦六楼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企业劳动用工合规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指引服务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申请表</w:t>
      </w:r>
    </w:p>
    <w:p>
      <w:pPr>
        <w:pStyle w:val="2"/>
        <w:rPr>
          <w:rFonts w:hint="eastAsia"/>
          <w:lang w:val="en-US" w:eastAsia="zh-Hans"/>
        </w:rPr>
      </w:pPr>
    </w:p>
    <w:p>
      <w:pPr>
        <w:pStyle w:val="8"/>
        <w:spacing w:before="156" w:beforeLines="50"/>
        <w:jc w:val="left"/>
        <w:rPr>
          <w:rFonts w:hint="eastAsia" w:ascii="仿宋_GB2312" w:eastAsia="仿宋_GB2312"/>
          <w:sz w:val="21"/>
          <w:szCs w:val="18"/>
          <w:u w:val="single"/>
        </w:rPr>
      </w:pPr>
      <w:r>
        <w:rPr>
          <w:rFonts w:hint="eastAsia" w:ascii="仿宋_GB2312" w:hAnsi="黑体" w:eastAsia="仿宋_GB2312"/>
        </w:rPr>
        <w:t xml:space="preserve"> 服务编号：</w:t>
      </w:r>
      <w:r>
        <w:rPr>
          <w:rFonts w:hint="default" w:ascii="仿宋_GB2312" w:hAnsi="黑体" w:eastAsia="仿宋_GB2312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21"/>
          <w:szCs w:val="18"/>
          <w:u w:val="none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21"/>
          <w:szCs w:val="18"/>
          <w:u w:val="non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21"/>
          <w:szCs w:val="18"/>
          <w:u w:val="none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21"/>
          <w:szCs w:val="18"/>
          <w:u w:val="non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21"/>
          <w:szCs w:val="18"/>
          <w:u w:val="none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21"/>
          <w:szCs w:val="18"/>
          <w:u w:val="none"/>
        </w:rPr>
        <w:t xml:space="preserve"> </w:t>
      </w:r>
    </w:p>
    <w:tbl>
      <w:tblPr>
        <w:tblStyle w:val="6"/>
        <w:tblW w:w="8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416"/>
        <w:gridCol w:w="2240"/>
        <w:gridCol w:w="836"/>
        <w:gridCol w:w="864"/>
        <w:gridCol w:w="2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服</w:t>
            </w:r>
            <w:r>
              <w:rPr>
                <w:rFonts w:hint="default" w:ascii="仿宋_GB2312" w:eastAsia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务企</w:t>
            </w:r>
            <w:r>
              <w:rPr>
                <w:rFonts w:hint="default" w:ascii="仿宋_GB2312" w:eastAsia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业基</w:t>
            </w:r>
            <w:r>
              <w:rPr>
                <w:rFonts w:hint="default" w:ascii="仿宋_GB2312" w:eastAsia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本信</w:t>
            </w:r>
            <w:r>
              <w:rPr>
                <w:rFonts w:hint="default" w:ascii="仿宋_GB2312" w:eastAsia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企业名称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1"/>
                <w:szCs w:val="16"/>
                <w:lang w:val="en-US" w:eastAsia="zh-Hans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1"/>
                <w:szCs w:val="16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信用代码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1"/>
                <w:szCs w:val="16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  <w:t>企业地址</w:t>
            </w:r>
          </w:p>
        </w:tc>
        <w:tc>
          <w:tcPr>
            <w:tcW w:w="6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法定代表人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被授权人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企业类型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新办企业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  <w:t>企业性质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  <w:t>（国有、私营、合资、外资等）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小微企业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2"/>
                <w:lang w:val="en-US" w:eastAsia="zh-Hans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2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职工总人数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  <w:t>企业登记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  <w:t>注册时间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Hans"/>
              </w:rPr>
              <w:t>申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24"/>
                <w:lang w:val="en-US"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Hans"/>
              </w:rPr>
              <w:t>请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Hans"/>
              </w:rPr>
              <w:t>事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Hans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eastAsia="zh-Hans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企业劳动合同管理指引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劳动合同档案管理指引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订立劳动合同指引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履行、变更劳动合同指引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解除、终止劳动合同指引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企业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Hans"/>
              </w:rPr>
              <w:t>劳动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规章制度指引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招聘与录用制度指引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劳动报酬制度指引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工作时间和休息休假制度指引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女职工和未成年工特殊保护制度指引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劳动安全卫生制度指引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职业培训制度指引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社会保险和福利制度指引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劳动纪律制度指引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竞业限制与保密制度指引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劳动定额管理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指引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16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t>其他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  <w:sym w:font="Wingdings 2" w:char="00A3"/>
            </w:r>
          </w:p>
        </w:tc>
        <w:tc>
          <w:tcPr>
            <w:tcW w:w="610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其</w:t>
            </w:r>
            <w:r>
              <w:rPr>
                <w:rFonts w:hint="default" w:ascii="仿宋_GB2312" w:eastAsia="仿宋_GB2312"/>
                <w:b/>
                <w:bCs/>
                <w:sz w:val="24"/>
                <w:lang w:val="en-US"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需</w:t>
            </w:r>
            <w:r>
              <w:rPr>
                <w:rFonts w:hint="default" w:ascii="仿宋_GB2312" w:eastAsia="仿宋_GB2312"/>
                <w:b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求</w:t>
            </w:r>
            <w:r>
              <w:rPr>
                <w:rFonts w:hint="default" w:ascii="仿宋_GB2312" w:eastAsia="仿宋_GB2312"/>
                <w:b/>
                <w:bCs/>
                <w:sz w:val="24"/>
                <w:lang w:eastAsia="zh-Hans"/>
              </w:rPr>
              <w:t xml:space="preserve"> </w:t>
            </w:r>
          </w:p>
        </w:tc>
        <w:tc>
          <w:tcPr>
            <w:tcW w:w="7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办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理    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结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果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18"/>
                <w:szCs w:val="16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18"/>
                <w:szCs w:val="16"/>
                <w:lang w:val="en-US" w:eastAsia="zh-Hans"/>
              </w:rPr>
              <w:t>办理机构填写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18"/>
                <w:szCs w:val="16"/>
              </w:rPr>
              <w:t>）</w:t>
            </w:r>
          </w:p>
        </w:tc>
        <w:tc>
          <w:tcPr>
            <w:tcW w:w="75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hint="default" w:ascii="仿宋_GB2312" w:eastAsia="仿宋_GB2312"/>
                <w:color w:val="000000"/>
                <w:sz w:val="24"/>
              </w:rPr>
              <w:t xml:space="preserve">    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hint="default" w:ascii="仿宋_GB2312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75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</w:p>
    <w:p>
      <w:p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3.2pt;height:24.2pt;width:442.2pt;mso-position-horizontal:center;z-index:251660288;mso-width-relative:page;mso-height-relative:page;" coordorigin="1588,4680" coordsize="8844,484" o:gfxdata="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u1IATWAAAABQEAAA8AAAAAAAAAAQAgAAAAIgAAAGRy&#10;cy9kb3ducmV2LnhtbFBLAQIUABQAAAAIAIdO4kAAjdbAeQIAAA0HAAAOAAAAAAAAAAEAIAAAACUB&#10;AABkcnMvZTJvRG9jLnhtbFBLBQYAAAAABgAGAFkBAAAQBgAAAAA=&#10;">
                <o:lock v:ext="edit" aspectratio="f"/>
                <v:line id="直线 3" o:spid="_x0000_s1026" o:spt="20" style="position:absolute;left:1588;top:4680;height:0;width:8844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88;top:5164;height:0;width:8844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22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4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22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B051A"/>
    <w:rsid w:val="021C72B8"/>
    <w:rsid w:val="09E334F0"/>
    <w:rsid w:val="0AB147BE"/>
    <w:rsid w:val="15802118"/>
    <w:rsid w:val="1AF04DEE"/>
    <w:rsid w:val="1AF3679D"/>
    <w:rsid w:val="1DE15F80"/>
    <w:rsid w:val="1FEEB594"/>
    <w:rsid w:val="25E37279"/>
    <w:rsid w:val="2CFE3E5C"/>
    <w:rsid w:val="31685224"/>
    <w:rsid w:val="37CC58AF"/>
    <w:rsid w:val="3F2F071D"/>
    <w:rsid w:val="3F53F096"/>
    <w:rsid w:val="49FB5555"/>
    <w:rsid w:val="4BFE6DC2"/>
    <w:rsid w:val="5240532D"/>
    <w:rsid w:val="54F87CFB"/>
    <w:rsid w:val="55F84B6C"/>
    <w:rsid w:val="560F74FE"/>
    <w:rsid w:val="575A7D23"/>
    <w:rsid w:val="5C1B7BAA"/>
    <w:rsid w:val="5C8C2AE4"/>
    <w:rsid w:val="5CA50038"/>
    <w:rsid w:val="5D5C66B5"/>
    <w:rsid w:val="5DCD1971"/>
    <w:rsid w:val="5DED036C"/>
    <w:rsid w:val="5DF81F22"/>
    <w:rsid w:val="5FA787AF"/>
    <w:rsid w:val="67F5E01F"/>
    <w:rsid w:val="68045CF4"/>
    <w:rsid w:val="68322DCE"/>
    <w:rsid w:val="6A467D38"/>
    <w:rsid w:val="6C6A0FE1"/>
    <w:rsid w:val="6CFF1C0A"/>
    <w:rsid w:val="6FDF8708"/>
    <w:rsid w:val="70200503"/>
    <w:rsid w:val="7A2D0B45"/>
    <w:rsid w:val="7C122907"/>
    <w:rsid w:val="7CB37BB8"/>
    <w:rsid w:val="7D87F016"/>
    <w:rsid w:val="7F0C411A"/>
    <w:rsid w:val="7F340FD6"/>
    <w:rsid w:val="7FCFE119"/>
    <w:rsid w:val="B0FF3324"/>
    <w:rsid w:val="BFFBE132"/>
    <w:rsid w:val="D4D7D286"/>
    <w:rsid w:val="D65D7DAF"/>
    <w:rsid w:val="DEEF4140"/>
    <w:rsid w:val="DF6FC413"/>
    <w:rsid w:val="EF3B051A"/>
    <w:rsid w:val="EFBEA510"/>
    <w:rsid w:val="FDFE4806"/>
    <w:rsid w:val="FF7460FE"/>
    <w:rsid w:val="FFB31385"/>
    <w:rsid w:val="FFDFAFF3"/>
    <w:rsid w:val="FF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p0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1867</Words>
  <Characters>1973</Characters>
  <Lines>0</Lines>
  <Paragraphs>0</Paragraphs>
  <TotalTime>5</TotalTime>
  <ScaleCrop>false</ScaleCrop>
  <LinksUpToDate>false</LinksUpToDate>
  <CharactersWithSpaces>2233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2022-02-11T03:06:00Z</dcterms:created>
  <dc:creator>fengjin</dc:creator>
  <cp:lastModifiedBy>Administrator</cp:lastModifiedBy>
  <cp:lastPrinted>2022-04-24T08:55:00Z</cp:lastPrinted>
  <dcterms:modified xsi:type="dcterms:W3CDTF">2022-04-25T01:49:36Z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487D92311A7B432D9CA259BBE32343C5</vt:lpwstr>
  </property>
  <property fmtid="{D5CDD505-2E9C-101B-9397-08002B2CF9AE}" pid="4" name="commondata">
    <vt:lpwstr>eyJoZGlkIjoiOThmMzZjZWU4MjBiNWEyMzM4NTczNTU1ODg0OWQ2NGUifQ==</vt:lpwstr>
  </property>
</Properties>
</file>