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540" w:lineRule="exact"/>
        <w:jc w:val="left"/>
        <w:outlineLvl w:val="0"/>
        <w:rPr>
          <w:rFonts w:hint="eastAsia" w:ascii="黑体" w:hAnsi="黑体" w:eastAsia="黑体" w:cs="黑体"/>
          <w:spacing w:val="-9"/>
          <w:lang w:eastAsia="zh-CN"/>
        </w:rPr>
      </w:pPr>
      <w:r>
        <w:rPr>
          <w:rFonts w:hint="eastAsia" w:ascii="黑体" w:hAnsi="黑体" w:eastAsia="黑体" w:cs="黑体"/>
          <w:spacing w:val="-9"/>
          <w:lang w:eastAsia="zh-CN"/>
        </w:rPr>
        <w:t>附件</w:t>
      </w:r>
    </w:p>
    <w:p>
      <w:pPr>
        <w:widowControl/>
        <w:shd w:val="clear" w:color="auto" w:fill="FFFFFF"/>
        <w:spacing w:line="540" w:lineRule="exact"/>
        <w:jc w:val="center"/>
        <w:outlineLvl w:val="0"/>
        <w:rPr>
          <w:rFonts w:hint="default" w:ascii="Times New Roman" w:hAnsi="Times New Roman" w:cs="Times New Roman"/>
          <w:spacing w:val="-9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pacing w:val="-9"/>
          <w:sz w:val="44"/>
          <w:szCs w:val="44"/>
          <w:lang w:eastAsia="zh-CN"/>
        </w:rPr>
        <w:t>福州市“互联网+医疗健康”重点项目清单（2018—2020）</w:t>
      </w:r>
      <w:bookmarkEnd w:id="0"/>
    </w:p>
    <w:p>
      <w:pPr>
        <w:widowControl/>
        <w:shd w:val="clear" w:color="auto" w:fill="FFFFFF"/>
        <w:spacing w:line="540" w:lineRule="exact"/>
        <w:jc w:val="left"/>
        <w:outlineLvl w:val="0"/>
        <w:rPr>
          <w:rFonts w:hint="default" w:ascii="Times New Roman" w:hAnsi="Times New Roman" w:cs="Times New Roman"/>
          <w:spacing w:val="-9"/>
        </w:rPr>
      </w:pPr>
    </w:p>
    <w:tbl>
      <w:tblPr>
        <w:tblStyle w:val="3"/>
        <w:tblW w:w="1409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3"/>
        <w:gridCol w:w="1343"/>
        <w:gridCol w:w="7383"/>
        <w:gridCol w:w="1208"/>
        <w:gridCol w:w="1395"/>
        <w:gridCol w:w="14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43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spacing w:val="0"/>
                <w:kern w:val="0"/>
                <w:sz w:val="21"/>
                <w:szCs w:val="21"/>
              </w:rPr>
              <w:t>重点任务</w:t>
            </w:r>
          </w:p>
        </w:tc>
        <w:tc>
          <w:tcPr>
            <w:tcW w:w="1343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spacing w:val="0"/>
                <w:kern w:val="0"/>
                <w:sz w:val="21"/>
                <w:szCs w:val="21"/>
              </w:rPr>
              <w:t>项目名称</w:t>
            </w:r>
          </w:p>
        </w:tc>
        <w:tc>
          <w:tcPr>
            <w:tcW w:w="7383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spacing w:val="0"/>
                <w:kern w:val="0"/>
                <w:sz w:val="21"/>
                <w:szCs w:val="21"/>
              </w:rPr>
              <w:t>建设内容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spacing w:val="0"/>
                <w:kern w:val="0"/>
                <w:sz w:val="21"/>
                <w:szCs w:val="21"/>
              </w:rPr>
              <w:t>责任单位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spacing w:val="0"/>
                <w:kern w:val="0"/>
                <w:sz w:val="21"/>
                <w:szCs w:val="21"/>
              </w:rPr>
              <w:t>完成时间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spacing w:val="0"/>
                <w:kern w:val="0"/>
                <w:sz w:val="21"/>
                <w:szCs w:val="21"/>
              </w:rPr>
              <w:t>资金预算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43" w:type="dxa"/>
            <w:vMerge w:val="restart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完善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“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互联网</w:t>
            </w: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  <w:t>+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医疗健康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”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支撑体系</w:t>
            </w:r>
          </w:p>
        </w:tc>
        <w:tc>
          <w:tcPr>
            <w:tcW w:w="1343" w:type="dxa"/>
            <w:vMerge w:val="restart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1.区域全民健康信息化支撑平台</w:t>
            </w:r>
          </w:p>
        </w:tc>
        <w:tc>
          <w:tcPr>
            <w:tcW w:w="7383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  <w:t>1</w:t>
            </w: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．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全面升级完善互通共享的人口健康信息平台，强化医疗服务、公共卫生、计划生育、医疗保障、药品供应、综合管理等应用信息系统数据采集、集成共享和业务协同。进一步健全和完善电子健康档案、电子病历、全员人口三大基础数据库，建成健康医疗大数据应用汇聚协作平台。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市卫计委、市大数据办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2018.1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2020.12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line="360" w:lineRule="exact"/>
              <w:jc w:val="both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已列入2018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“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数字福州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”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项目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预算5000万元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7383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  <w:t>2</w:t>
            </w: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．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建设居民电子健康卡卡管平台，实现居民电子健康卡的实名制申领与在线发卡。以全国统一标准的居民电子健康卡（虚拟卡）为主索引和身份唯一标识，贯穿就医诊疗、免疫规划、妇幼保健、费用结算、信息查询、家庭医生签约、健康管理等各类场景，有效共享全员人口信息、电子健康档案、电子病历信息，实现全市范围内跨医疗机构医疗健康服务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“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一卡通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”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。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市卫计委、市医保局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2018.1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2020.5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预算2000万元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7383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  <w:t>3</w:t>
            </w: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．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建设全市统一预约服务平台，依托人口健康信息平台，实现门诊挂号预约、检查预约、体检预约、孕产妇床位预约、计划免疫预约等。鼓励二级以下医疗机构依托统一预约服务平台开展预约服务，避免重复建设。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市卫计委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2018.9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2019.12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预算1500万元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7383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  <w:t>4</w:t>
            </w: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．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建立区域电子病历应用及共享平台。加快推动三级医院的电子病历功能应用和共享交换平台建设，推进基于电子病历共享的大数据科研分析、辅助诊疗等应用，提高临床服务质量和水平。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市卫计委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2018.1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2020.12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已列入2018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“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数字福州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”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项目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预算2000万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6" w:hRule="atLeast"/>
        </w:trPr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7383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  <w:t>5</w:t>
            </w: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．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建立检验检查结果互认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监管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平台，推进检查检验结果互认，逐步扩大互认项目和互认医疗机构范围，对全市各级医疗机构的检验检查结果互认情况进行全程监测。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市卫计委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2018.9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2020.12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预算200万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元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（已含在区域人口健康信息预算中）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7383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  <w:t>6</w:t>
            </w: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．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完善建设分级诊疗与远程医疗协同平台。建立远程医疗集成平台，整合远程会诊、远程影像诊断、远程病理诊断、远程心电诊断服务，推进大医院与基层医疗卫生机构、全科医生与专科医生的信息共享和业务协同。在基层医疗卫生机构开设远程视频协作门诊，连接大医院专科医生，放大优质医疗资源服务能力、延伸服务范围，促进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“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重心下移、资源下沉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”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。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市卫计委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2018.1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2019.12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已列入2018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“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数字福州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”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项目预算1500万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7383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  <w:t>7</w:t>
            </w: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．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建设医疗健康大数据安全防控平台。推进网络可信体系建设，加快建设统一标识的医疗卫生人员和医疗卫生机构可信数字身份、电子实名认证、数据访问控制信息系统，创新监管机制，提升监管能力。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市卫计委、市数字办、市公安局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2018.9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2020.12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预算1000万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元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（已含在区域人口健康信息预算中）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7383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pacing w:val="0"/>
                <w:kern w:val="0"/>
                <w:sz w:val="21"/>
                <w:szCs w:val="21"/>
              </w:rPr>
              <w:t>8</w:t>
            </w:r>
            <w:r>
              <w:rPr>
                <w:rFonts w:hint="default" w:ascii="Times New Roman" w:hAnsi="Times New Roman" w:eastAsia="仿宋" w:cs="Times New Roman"/>
                <w:color w:val="auto"/>
                <w:spacing w:val="0"/>
                <w:kern w:val="0"/>
                <w:sz w:val="21"/>
                <w:szCs w:val="21"/>
                <w:lang w:eastAsia="zh-CN"/>
              </w:rPr>
              <w:t>．</w:t>
            </w:r>
            <w:r>
              <w:rPr>
                <w:rFonts w:hint="eastAsia" w:ascii="Times New Roman" w:hAnsi="Times New Roman" w:eastAsia="仿宋" w:cs="Times New Roman"/>
                <w:color w:val="auto"/>
                <w:spacing w:val="0"/>
                <w:kern w:val="0"/>
                <w:sz w:val="21"/>
                <w:szCs w:val="21"/>
                <w:lang w:eastAsia="zh-CN"/>
              </w:rPr>
              <w:t>建立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  <w:t>区域影像及影像大数据平台。在全市已经配备基层检查设备的基础上建设区域影像平台，实现区域医疗机构影像的汇聚、调阅、归档，协同阅片，减少重复拍片，提升基层阅片能力，降低错、误诊率，并在影像汇聚平台上开展影像大数据的应用开发。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市卫计委、市大数据办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2018.1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2020.1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已列入2018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“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数字福州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”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项目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预算2000万元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43" w:type="dxa"/>
            <w:vMerge w:val="restart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推进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“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互联网</w:t>
            </w: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  <w:t>+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”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支付结算和便民惠民服务</w:t>
            </w:r>
          </w:p>
        </w:tc>
        <w:tc>
          <w:tcPr>
            <w:tcW w:w="1343" w:type="dxa"/>
            <w:vMerge w:val="restart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2.便民惠民服务平台全面升级</w:t>
            </w:r>
          </w:p>
        </w:tc>
        <w:tc>
          <w:tcPr>
            <w:tcW w:w="7383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  <w:t>9</w:t>
            </w: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．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升级完善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“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榕医通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”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便民服务平台，提供预约挂号、充值缴费、健康档案查询、检验检查报告查询、医保在线结算、公共卫生信息发布以及个人事项的在线办理等服务，逐步将计划免疫、卫生监督、疾病预防、生育服务登记、健康体检等涉及公众健康信息和便民服务应用纳入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“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榕医通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”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平台集中管理。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市卫计委、市医保局、市数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字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办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2018.1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2018.5完成一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二期建设，2018.5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2019.9开展三期建设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已投入资金4700万元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7383" w:type="dxa"/>
            <w:vAlign w:val="center"/>
          </w:tcPr>
          <w:p>
            <w:pPr>
              <w:widowControl/>
              <w:spacing w:beforeLines="0" w:afterLines="0" w:line="340" w:lineRule="exact"/>
              <w:jc w:val="left"/>
              <w:rPr>
                <w:rFonts w:hint="eastAsia" w:ascii="Times New Roman" w:hAnsi="Times New Roman" w:eastAsia="仿宋_GB2312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pacing w:val="0"/>
                <w:kern w:val="0"/>
                <w:sz w:val="21"/>
                <w:szCs w:val="21"/>
              </w:rPr>
              <w:t>10</w:t>
            </w:r>
            <w:r>
              <w:rPr>
                <w:rFonts w:hint="eastAsia" w:ascii="Times New Roman" w:hAnsi="Times New Roman" w:eastAsia="仿宋_GB2312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．提供医保在线结算服务。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开展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“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医保在线支付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”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试点。逐步推动实现脱卡就医，扩大联网定点医疗卫生机构范围，推进医保异地就医直接结算。推动共享患者就诊信息、医保基金等结算通道，促进实现患者自费和医保基金报销便捷支付。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beforeLines="0" w:afterLines="0" w:line="34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市卫计委、市医保局、各县（市）区政府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beforeLines="0" w:afterLines="0" w:line="34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2018.1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2020.12（2019.12前完成三家医院试点工作）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beforeLines="0" w:afterLines="0" w:line="34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预算3000万元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7383" w:type="dxa"/>
            <w:vAlign w:val="center"/>
          </w:tcPr>
          <w:p>
            <w:pPr>
              <w:widowControl/>
              <w:spacing w:beforeLines="0" w:afterLines="0" w:line="340" w:lineRule="exact"/>
              <w:jc w:val="left"/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  <w:t>11</w:t>
            </w: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．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val="en-US" w:eastAsia="zh-CN"/>
              </w:rPr>
              <w:t>支持多种支付模式。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医疗卫生机构通过自助机具、手机客户端等多种途径优化支付流程，通过提供诊间结算、床旁结算等结算方式提升就诊体验。在保障信息安全的前提下，与医保、商保、银联、第三方支付机构合作，为患者提供多种在线支付方式。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beforeLines="0" w:afterLines="0" w:line="34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市卫计委、市医保局、各县（市）区政府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beforeLines="0" w:afterLines="0" w:line="34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2018.1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2020.12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beforeLines="0" w:afterLines="0" w:line="34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预算4000万元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3" w:hRule="atLeast"/>
        </w:trPr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7383" w:type="dxa"/>
            <w:vAlign w:val="center"/>
          </w:tcPr>
          <w:p>
            <w:pPr>
              <w:widowControl/>
              <w:spacing w:beforeLines="0" w:afterLines="0" w:line="340" w:lineRule="exact"/>
              <w:jc w:val="left"/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  <w:t>12</w:t>
            </w: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．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对接市茉莉分信用评价系统，实行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“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先诊疗，后付费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”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的结算服务模式，减轻患者垫资压力和费用负担。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beforeLines="0" w:afterLines="0" w:line="34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市数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字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办、市医保局、市财政局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市卫计委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beforeLines="0" w:afterLines="0" w:line="34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2018.9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2019.12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beforeLines="0" w:afterLines="0" w:line="34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预算500万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2" w:hRule="atLeast"/>
        </w:trPr>
        <w:tc>
          <w:tcPr>
            <w:tcW w:w="1343" w:type="dxa"/>
            <w:vMerge w:val="restart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发展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“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互联网</w:t>
            </w: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  <w:t>+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”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医疗服务</w:t>
            </w:r>
          </w:p>
        </w:tc>
        <w:tc>
          <w:tcPr>
            <w:tcW w:w="1343" w:type="dxa"/>
            <w:vMerge w:val="restart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3.互联网医疗服务和管理平台</w:t>
            </w:r>
          </w:p>
        </w:tc>
        <w:tc>
          <w:tcPr>
            <w:tcW w:w="7383" w:type="dxa"/>
            <w:vAlign w:val="center"/>
          </w:tcPr>
          <w:p>
            <w:pPr>
              <w:widowControl/>
              <w:spacing w:beforeLines="0" w:afterLines="0" w:line="340" w:lineRule="exact"/>
              <w:jc w:val="left"/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  <w:t>13</w:t>
            </w: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．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建设互联网医院，为患者在线提供部分常见病、慢性病复诊服务。允许医生在掌握患者病历资料后，为复诊患者在线开具部分常见病、慢性病电子处方，患者可在平台上直接在线结算（含医保、自费）电子处方费用，医保特殊病种患者享受与线下就诊同样的报销政策。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beforeLines="0" w:afterLines="0" w:line="34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市卫计委、市医保局、市财政局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beforeLines="0" w:afterLines="0" w:line="34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2018.9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2020.12（2019.5前试点医院上线）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beforeLines="0" w:afterLines="0" w:line="34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各医疗机构投入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7383" w:type="dxa"/>
            <w:vAlign w:val="center"/>
          </w:tcPr>
          <w:p>
            <w:pPr>
              <w:widowControl/>
              <w:spacing w:beforeLines="0" w:afterLines="0" w:line="340" w:lineRule="exact"/>
              <w:jc w:val="left"/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  <w:t>14</w:t>
            </w: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．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建设药品配送和药品物流监管平台。遴选具备资质、符合条件的第三方机构入驻平台并进行全流程监管。对线上开具的电子处方，经药师审核后，医疗机构、药品经营企业可委托入驻平台的第三方机构配送。开展中药饮片代煎、配送等服务，解决患者排队取药时间长、煎药不便等问题。支持各级中医医院提供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“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共享中药房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”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服务，将中药饮片调剂、煎药、配送等服务向其他医疗机构和基层医疗卫生机构延伸。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beforeLines="0" w:afterLines="0" w:line="34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市卫计委、市市场监管局、市医保局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beforeLines="0" w:afterLines="0" w:line="34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2018.9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2020.12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beforeLines="0" w:afterLines="0" w:line="34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预算1000万元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7383" w:type="dxa"/>
            <w:vAlign w:val="center"/>
          </w:tcPr>
          <w:p>
            <w:pPr>
              <w:widowControl/>
              <w:spacing w:beforeLines="0" w:afterLines="0" w:line="280" w:lineRule="exact"/>
              <w:jc w:val="left"/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  <w:t>15</w:t>
            </w: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．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完善家庭医生签约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服务信息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系统。升级基层医疗卫生信息系统平台，建立完善家庭医生签约服务信息系统，完善与医保信息系统互联互通、数据交换等功能改造，为家庭医生作为居民健康、医疗资源、医保费用的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“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守门人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”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提供信息化支撑。开通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“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健康闽都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”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签约服务移动</w:t>
            </w: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  <w:t>APP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，为居民提供线上签约、健康咨询、基本公共卫生服务项目指导、医患互动等连续协同的基本医疗卫生服务。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市卫计委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2018.8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2018.10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  <w:highlight w:val="none"/>
                <w:lang w:eastAsia="zh-CN"/>
              </w:rPr>
              <w:t>预算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  <w:highlight w:val="none"/>
              </w:rPr>
              <w:t>300万元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7383" w:type="dxa"/>
            <w:vAlign w:val="center"/>
          </w:tcPr>
          <w:p>
            <w:pPr>
              <w:widowControl/>
              <w:spacing w:beforeLines="0" w:afterLines="0" w:line="280" w:lineRule="exact"/>
              <w:jc w:val="left"/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  <w:t>16</w:t>
            </w: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．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建立出院病人随访系统。组建随访中心，依托出院病人随访系统，拓展医患沟通渠道，指导病人康复、预约复诊和健康咨询等，逐步实现患者居家康复，不出家门就能享受优质高效的复诊服务。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市卫计委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2018.9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2020.12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  <w:t>各医疗机构投入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7383" w:type="dxa"/>
            <w:vAlign w:val="center"/>
          </w:tcPr>
          <w:p>
            <w:pPr>
              <w:widowControl/>
              <w:spacing w:beforeLines="0" w:afterLines="0" w:line="28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pacing w:val="0"/>
                <w:kern w:val="0"/>
                <w:sz w:val="21"/>
                <w:szCs w:val="21"/>
              </w:rPr>
              <w:t>17</w:t>
            </w:r>
            <w:r>
              <w:rPr>
                <w:rFonts w:hint="default" w:ascii="Times New Roman" w:hAnsi="Times New Roman" w:eastAsia="仿宋" w:cs="Times New Roman"/>
                <w:color w:val="auto"/>
                <w:spacing w:val="0"/>
                <w:kern w:val="0"/>
                <w:sz w:val="21"/>
                <w:szCs w:val="21"/>
                <w:lang w:eastAsia="zh-CN"/>
              </w:rPr>
              <w:t>．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  <w:t>建立全市医养结合服务平台，包含综合评估、健康监测、健康干预、医养处方、生活服务和政务服务为一体的医养结合综合社区健康平台，让老人随时随地了解自己的身体状态，为有需要的老人随时随地提供医养服务。。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市卫计委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2018.9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2020.12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  <w:t>已列入2018</w:t>
            </w:r>
            <w:r>
              <w:rPr>
                <w:rFonts w:hint="eastAsia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  <w:lang w:eastAsia="zh-CN"/>
              </w:rPr>
              <w:t>“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  <w:t>数字福州</w:t>
            </w:r>
            <w:r>
              <w:rPr>
                <w:rFonts w:hint="eastAsia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  <w:lang w:eastAsia="zh-CN"/>
              </w:rPr>
              <w:t>”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  <w:t>项目</w:t>
            </w:r>
            <w:r>
              <w:rPr>
                <w:rFonts w:hint="eastAsia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  <w:t>预算2000万元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6" w:hRule="atLeast"/>
        </w:trPr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7383" w:type="dxa"/>
            <w:vAlign w:val="center"/>
          </w:tcPr>
          <w:p>
            <w:pPr>
              <w:widowControl/>
              <w:spacing w:beforeLines="0" w:afterLines="0" w:line="28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pacing w:val="0"/>
                <w:kern w:val="0"/>
                <w:sz w:val="21"/>
                <w:szCs w:val="21"/>
              </w:rPr>
              <w:t>18</w:t>
            </w:r>
            <w:r>
              <w:rPr>
                <w:rFonts w:hint="default" w:ascii="Times New Roman" w:hAnsi="Times New Roman" w:eastAsia="仿宋" w:cs="Times New Roman"/>
                <w:color w:val="auto"/>
                <w:spacing w:val="0"/>
                <w:kern w:val="0"/>
                <w:sz w:val="21"/>
                <w:szCs w:val="21"/>
                <w:lang w:eastAsia="zh-CN"/>
              </w:rPr>
              <w:t>．</w:t>
            </w:r>
            <w:r>
              <w:rPr>
                <w:rFonts w:hint="eastAsia" w:ascii="Times New Roman" w:hAnsi="Times New Roman" w:eastAsia="仿宋" w:cs="Times New Roman"/>
                <w:color w:val="auto"/>
                <w:spacing w:val="0"/>
                <w:kern w:val="0"/>
                <w:sz w:val="21"/>
                <w:szCs w:val="21"/>
                <w:lang w:eastAsia="zh-CN"/>
              </w:rPr>
              <w:t>建立人工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  <w:t>智能辅助诊断系统和家庭医生智能随访系统，全市基层医疗机构试行人工智能辅助诊断和家庭医生智能随访，利用医疗人工智能技术帮助基层医生降低误诊率和减少工作量，通过家庭医生智能随访系统提高服务水平。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市卫计委、各县（市）区政府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2018.7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2019.12（2018.12前完成五城区试点工作）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  <w:t>预算3000万</w:t>
            </w:r>
            <w:r>
              <w:rPr>
                <w:rFonts w:hint="eastAsia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  <w:lang w:eastAsia="zh-CN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7383" w:type="dxa"/>
            <w:vAlign w:val="center"/>
          </w:tcPr>
          <w:p>
            <w:pPr>
              <w:widowControl/>
              <w:spacing w:beforeLines="0" w:afterLines="0" w:line="28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pacing w:val="0"/>
                <w:kern w:val="0"/>
                <w:sz w:val="21"/>
                <w:szCs w:val="21"/>
              </w:rPr>
              <w:t>19</w:t>
            </w:r>
            <w:r>
              <w:rPr>
                <w:rFonts w:hint="default" w:ascii="Times New Roman" w:hAnsi="Times New Roman" w:eastAsia="仿宋" w:cs="Times New Roman"/>
                <w:color w:val="auto"/>
                <w:spacing w:val="0"/>
                <w:kern w:val="0"/>
                <w:sz w:val="21"/>
                <w:szCs w:val="21"/>
                <w:lang w:eastAsia="zh-CN"/>
              </w:rPr>
              <w:t>．</w:t>
            </w:r>
            <w:r>
              <w:rPr>
                <w:rFonts w:hint="eastAsia" w:ascii="Times New Roman" w:hAnsi="Times New Roman" w:eastAsia="仿宋" w:cs="Times New Roman"/>
                <w:color w:val="auto"/>
                <w:spacing w:val="0"/>
                <w:kern w:val="0"/>
                <w:sz w:val="21"/>
                <w:szCs w:val="21"/>
                <w:lang w:eastAsia="zh-CN"/>
              </w:rPr>
              <w:t>建立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  <w:t>互联网医疗监管平台，对互联网医院的线上医疗服务行为、药品配送流通环节进行全程监管，确保互联网医疗服务质量和安全。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市卫计委、市医保局、市财政局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2018.9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2020.12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  <w:t>预算1000万</w:t>
            </w:r>
            <w:r>
              <w:rPr>
                <w:rFonts w:hint="eastAsia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  <w:lang w:eastAsia="zh-CN"/>
              </w:rPr>
              <w:t>元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  <w:t>（已含在区域人口健康信息预算中）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7383" w:type="dxa"/>
            <w:vAlign w:val="center"/>
          </w:tcPr>
          <w:p>
            <w:pPr>
              <w:widowControl/>
              <w:spacing w:beforeLines="0" w:afterLines="0" w:line="28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pacing w:val="0"/>
                <w:kern w:val="0"/>
                <w:sz w:val="21"/>
                <w:szCs w:val="21"/>
              </w:rPr>
              <w:t>20</w:t>
            </w:r>
            <w:r>
              <w:rPr>
                <w:rFonts w:hint="default" w:ascii="Times New Roman" w:hAnsi="Times New Roman" w:eastAsia="仿宋" w:cs="Times New Roman"/>
                <w:color w:val="auto"/>
                <w:spacing w:val="0"/>
                <w:kern w:val="0"/>
                <w:sz w:val="21"/>
                <w:szCs w:val="21"/>
                <w:lang w:eastAsia="zh-CN"/>
              </w:rPr>
              <w:t>．</w:t>
            </w:r>
            <w:r>
              <w:rPr>
                <w:rFonts w:hint="eastAsia" w:ascii="Times New Roman" w:hAnsi="Times New Roman" w:eastAsia="仿宋" w:cs="Times New Roman"/>
                <w:color w:val="auto"/>
                <w:spacing w:val="0"/>
                <w:kern w:val="0"/>
                <w:sz w:val="21"/>
                <w:szCs w:val="21"/>
                <w:lang w:eastAsia="zh-CN"/>
              </w:rPr>
              <w:t>建立</w:t>
            </w:r>
            <w:r>
              <w:rPr>
                <w:rFonts w:hint="eastAsia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  <w:lang w:eastAsia="zh-CN"/>
              </w:rPr>
              <w:t>福州市健康医疗大数据科教平台。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  <w:t>实施健康科普精准教育，利用互联网提供健康教育、</w:t>
            </w:r>
            <w:r>
              <w:rPr>
                <w:rFonts w:hint="eastAsia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  <w:lang w:eastAsia="zh-CN"/>
              </w:rPr>
              <w:t>“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  <w:t>三减三健</w:t>
            </w:r>
            <w:r>
              <w:rPr>
                <w:rFonts w:hint="eastAsia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  <w:lang w:eastAsia="zh-CN"/>
              </w:rPr>
              <w:t>”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  <w:t>信息推送、健康知识普及等便捷服务，普及健康生活方式，提高全民健康素养。规范互联网上医疗健康信息内容，为公民提供安全可靠的</w:t>
            </w:r>
            <w:r>
              <w:rPr>
                <w:rFonts w:hint="eastAsia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  <w:lang w:eastAsia="zh-CN"/>
              </w:rPr>
              <w:t>“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  <w:t>互联网</w:t>
            </w:r>
            <w:r>
              <w:rPr>
                <w:rFonts w:hint="default" w:ascii="Times New Roman" w:hAnsi="Times New Roman" w:eastAsia="仿宋" w:cs="Times New Roman"/>
                <w:color w:val="auto"/>
                <w:spacing w:val="0"/>
                <w:kern w:val="0"/>
                <w:sz w:val="21"/>
                <w:szCs w:val="21"/>
              </w:rPr>
              <w:t>+</w:t>
            </w:r>
            <w:r>
              <w:rPr>
                <w:rFonts w:hint="eastAsia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  <w:lang w:eastAsia="zh-CN"/>
              </w:rPr>
              <w:t>”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  <w:t>健康咨询服务。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市卫计委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2018.9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2020.12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  <w:t>预算300万</w:t>
            </w:r>
            <w:r>
              <w:rPr>
                <w:rFonts w:hint="eastAsia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  <w:lang w:eastAsia="zh-CN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43" w:type="dxa"/>
            <w:vMerge w:val="restart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创新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“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互联网</w:t>
            </w: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  <w:t>+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”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健康大数据应用服务</w:t>
            </w:r>
          </w:p>
        </w:tc>
        <w:tc>
          <w:tcPr>
            <w:tcW w:w="1343" w:type="dxa"/>
            <w:vMerge w:val="restart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4.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“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互联网</w:t>
            </w: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  <w:t>+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大数据</w:t>
            </w:r>
            <w:r>
              <w:rPr>
                <w:rFonts w:hint="eastAsia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”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应用创新平台</w:t>
            </w:r>
          </w:p>
        </w:tc>
        <w:tc>
          <w:tcPr>
            <w:tcW w:w="7383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pacing w:val="0"/>
                <w:kern w:val="0"/>
                <w:sz w:val="21"/>
                <w:szCs w:val="21"/>
              </w:rPr>
              <w:t>21</w:t>
            </w:r>
            <w:r>
              <w:rPr>
                <w:rFonts w:hint="default" w:ascii="Times New Roman" w:hAnsi="Times New Roman" w:eastAsia="仿宋" w:cs="Times New Roman"/>
                <w:color w:val="auto"/>
                <w:spacing w:val="0"/>
                <w:kern w:val="0"/>
                <w:sz w:val="21"/>
                <w:szCs w:val="21"/>
                <w:lang w:eastAsia="zh-CN"/>
              </w:rPr>
              <w:t>．</w:t>
            </w:r>
            <w:r>
              <w:rPr>
                <w:rFonts w:hint="eastAsia" w:ascii="Times New Roman" w:hAnsi="Times New Roman" w:eastAsia="仿宋" w:cs="Times New Roman"/>
                <w:color w:val="auto"/>
                <w:spacing w:val="0"/>
                <w:kern w:val="0"/>
                <w:sz w:val="21"/>
                <w:szCs w:val="21"/>
                <w:lang w:eastAsia="zh-CN"/>
              </w:rPr>
              <w:t>打造</w:t>
            </w:r>
            <w:r>
              <w:rPr>
                <w:rFonts w:hint="eastAsia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  <w:lang w:eastAsia="zh-CN"/>
              </w:rPr>
              <w:t>“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  <w:t>治未病</w:t>
            </w:r>
            <w:r>
              <w:rPr>
                <w:rFonts w:hint="eastAsia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  <w:lang w:eastAsia="zh-CN"/>
              </w:rPr>
              <w:t>”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  <w:t>健康管理平台</w:t>
            </w:r>
            <w:r>
              <w:rPr>
                <w:rFonts w:hint="eastAsia" w:ascii="Times New Roman" w:hAnsi="Times New Roman" w:eastAsia="仿宋" w:cs="Times New Roman"/>
                <w:color w:val="auto"/>
                <w:spacing w:val="0"/>
                <w:kern w:val="0"/>
                <w:sz w:val="21"/>
                <w:szCs w:val="21"/>
                <w:lang w:eastAsia="zh-CN"/>
              </w:rPr>
              <w:t>。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  <w:t>利用云计算、大数据信息技术充分挖掘健康状态变化的信息，在形成疾病以前进行有针对性的预防干预，成功阻断、延缓甚至逆转疾病的发生和发展进程，实现维护居民健康的目的。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市大数据办、市卫计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委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2019.1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2020.12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  <w:t>预算1500万元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2" w:hRule="atLeast"/>
        </w:trPr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7383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pacing w:val="0"/>
                <w:kern w:val="0"/>
                <w:sz w:val="21"/>
                <w:szCs w:val="21"/>
              </w:rPr>
              <w:t>22</w:t>
            </w:r>
            <w:r>
              <w:rPr>
                <w:rFonts w:hint="default" w:ascii="Times New Roman" w:hAnsi="Times New Roman" w:eastAsia="仿宋" w:cs="Times New Roman"/>
                <w:color w:val="auto"/>
                <w:spacing w:val="0"/>
                <w:kern w:val="0"/>
                <w:sz w:val="21"/>
                <w:szCs w:val="21"/>
                <w:lang w:eastAsia="zh-CN"/>
              </w:rPr>
              <w:t>．</w:t>
            </w:r>
            <w:r>
              <w:rPr>
                <w:rFonts w:hint="eastAsia" w:ascii="Times New Roman" w:hAnsi="Times New Roman" w:eastAsia="仿宋" w:cs="Times New Roman"/>
                <w:color w:val="auto"/>
                <w:spacing w:val="0"/>
                <w:kern w:val="0"/>
                <w:sz w:val="21"/>
                <w:szCs w:val="21"/>
                <w:lang w:eastAsia="zh-CN"/>
              </w:rPr>
              <w:t>建立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  <w:t>中医健康信息平台。推动</w:t>
            </w:r>
            <w:r>
              <w:rPr>
                <w:rFonts w:hint="eastAsia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  <w:lang w:eastAsia="zh-CN"/>
              </w:rPr>
              <w:t>“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  <w:t>治未病</w:t>
            </w:r>
            <w:r>
              <w:rPr>
                <w:rFonts w:hint="eastAsia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  <w:lang w:eastAsia="zh-CN"/>
              </w:rPr>
              <w:t>”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  <w:t>等大数据平台对接全省统一的基层医疗卫生机构中医诊疗区（中医馆）健康信息平台建设依托互联共享的国家和省级中医药数据中心、中医特色电子病历、名老中医宝库、中医药知识库和古籍文献知识库，提供智能辅助诊断开方、中医药健康管理、中医远程教育等服务。提供中医特色康复医疗、训练指导、知识普及、康复护理等服务。推动医联体内中医医疗机构与社区康复机构的康复诊疗信息共享，提供远程康复诊疗、康复教育等服务。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市卫计委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2018.9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2020.12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  <w:t>省卫计委统一建设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7383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  <w:t>23</w:t>
            </w: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．</w:t>
            </w:r>
            <w:r>
              <w:rPr>
                <w:rFonts w:hint="eastAsia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建立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  <w:t>出生缺陷防控大数据平台，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采集妇女儿童保健数据和新生儿疾病筛查数据，以大数据分析技术支持出生缺陷防控，降低新生儿出生缺陷率。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市卫计委、市大数据办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2018.9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2019.12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  <w:highlight w:val="none"/>
                <w:lang w:eastAsia="zh-CN"/>
              </w:rPr>
              <w:t>预算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  <w:highlight w:val="none"/>
              </w:rPr>
              <w:t>500万</w:t>
            </w:r>
            <w:r>
              <w:rPr>
                <w:rFonts w:hint="eastAsia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  <w:highlight w:val="none"/>
                <w:lang w:eastAsia="zh-CN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43" w:type="dxa"/>
            <w:vMerge w:val="restart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健全卫生政务服务，强化行业监管</w:t>
            </w:r>
          </w:p>
        </w:tc>
        <w:tc>
          <w:tcPr>
            <w:tcW w:w="1343" w:type="dxa"/>
            <w:vMerge w:val="restart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 xml:space="preserve">                                                       5.卫生政务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“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一站式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”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服务和监管平台</w:t>
            </w:r>
          </w:p>
        </w:tc>
        <w:tc>
          <w:tcPr>
            <w:tcW w:w="7383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  <w:t>24</w:t>
            </w: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．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拓展基层卫生信息系统基本公共卫生服务应用功能。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按照省级统一部署，对基层卫生信息系统进行标准化升级改造，增加糖尿病一体化管理模块，健全高血压、糖尿病等慢性病的信息管理，重点做好在线健康状况评估、监测预警、用药指导、跟踪随访、健康管理等服务。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市卫计委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2018.1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2020.12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</w:rPr>
              <w:t>预算200万元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7383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  <w:t>25</w:t>
            </w: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．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升级改造免疫规划信息系统。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通过线上便民服务平台为受种者提供接种预约、接种信息查询、接种提醒等服务，提升预防接种服务能力和水平。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市卫计委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2018.9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2018.12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  <w:highlight w:val="none"/>
                <w:lang w:eastAsia="zh-CN"/>
              </w:rPr>
              <w:t>预算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  <w:highlight w:val="none"/>
              </w:rPr>
              <w:t>400万</w:t>
            </w:r>
            <w:r>
              <w:rPr>
                <w:rFonts w:hint="eastAsia" w:ascii="Times New Roman" w:hAnsi="Times New Roman" w:cs="Times New Roman"/>
                <w:color w:val="auto"/>
                <w:spacing w:val="0"/>
                <w:kern w:val="0"/>
                <w:sz w:val="21"/>
                <w:szCs w:val="21"/>
                <w:highlight w:val="none"/>
                <w:lang w:eastAsia="zh-CN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7383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  <w:t>26</w:t>
            </w: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．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推进母子健康手册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电子化应用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。对接省母子健康手册信息系统，结合妇女和儿童的检验检查结果和自我保健信息，形成孕前、孕产期至</w:t>
            </w: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  <w:t>0</w:t>
            </w:r>
            <w:r>
              <w:rPr>
                <w:rFonts w:hint="eastAsia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  <w:t>6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岁儿童的生育全程基本医疗保健服务信息记录。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市卫计委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2018.9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2019.12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预算50万元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2" w:hRule="atLeast"/>
        </w:trPr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7383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  <w:t>27</w:t>
            </w: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．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建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立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职业卫生信息化监管与服务平台。实现用人单位职业卫生状况、劳动者职业健康检查和职业病诊断信息在线共享，向用工单位、劳动者提供预约、查询、健康管理、健康宣教、档案管理等服务。优化从业人员预防性健康检查信息系统，推动健康证全程电子化，使从业人员办理健康证更省时、更方便、更快捷。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市卫计委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2017.5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2020.12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已投入100万元，预计再投入300万元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7383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  <w:t>28</w:t>
            </w: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．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开展合理用药点评管理系统试点建设，鼓励上级医院通过业务指导和远程协作等多种方式，加强对基层医疗卫生机构用药指导，推动基层医疗卫生机构为群众提供更优质、安全、便捷的药事服务。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市卫计委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2018.9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2020.12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预算1500万元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7383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  <w:t>29</w:t>
            </w: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．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建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设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卫生政务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“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一站式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”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服务平台，加快政务信息整合共享，将出生医学证明、公共场所卫生许可证、全员人口个案、生育服务登记等信息接入市政务汇聚共享平台。依托市网上办事大厅，大力推动政务服务全程网办。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市卫计委、市数字办、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市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行政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市民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）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服务中心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2018.1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2019.12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预算100万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元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（已含在区域人口健康信息预算中）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1343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</w:p>
        </w:tc>
        <w:tc>
          <w:tcPr>
            <w:tcW w:w="7383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</w:rPr>
              <w:t>30</w:t>
            </w:r>
            <w:r>
              <w:rPr>
                <w:rFonts w:hint="default" w:ascii="Times New Roman" w:hAnsi="Times New Roman" w:eastAsia="仿宋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．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建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立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医疗质量监管和医改监测平台，加强事前、事中、事后监管，实施对医疗机构和医疗服务的质量监管，确保医疗健康服务质量和安全。</w:t>
            </w:r>
          </w:p>
        </w:tc>
        <w:tc>
          <w:tcPr>
            <w:tcW w:w="1208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市卫计委</w:t>
            </w:r>
          </w:p>
        </w:tc>
        <w:tc>
          <w:tcPr>
            <w:tcW w:w="139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2018.9</w:t>
            </w:r>
            <w:r>
              <w:rPr>
                <w:rFonts w:hint="eastAsia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2019.12</w:t>
            </w:r>
          </w:p>
        </w:tc>
        <w:tc>
          <w:tcPr>
            <w:tcW w:w="1419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spacing w:val="0"/>
                <w:kern w:val="0"/>
                <w:sz w:val="21"/>
                <w:szCs w:val="21"/>
              </w:rPr>
              <w:t>预算200万元</w:t>
            </w:r>
          </w:p>
        </w:tc>
      </w:tr>
    </w:tbl>
    <w:p/>
    <w:sectPr>
      <w:pgSz w:w="16838" w:h="11906" w:orient="landscape"/>
      <w:pgMar w:top="1803" w:right="1440" w:bottom="1803" w:left="1440" w:header="851" w:footer="992" w:gutter="0"/>
      <w:paperSrc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3FF18B0"/>
    <w:rsid w:val="53FF1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tLeast"/>
      <w:jc w:val="both"/>
    </w:pPr>
    <w:rPr>
      <w:rFonts w:ascii="仿宋_GB2312" w:hAnsi="仿宋_GB2312" w:eastAsia="仿宋_GB2312"/>
      <w:spacing w:val="0"/>
      <w:kern w:val="2"/>
      <w:sz w:val="32"/>
      <w:szCs w:val="22"/>
      <w:lang w:val="en-US" w:eastAsia="zh-CN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2018-12-25T01:03:00Z</dcterms:created>
  <dc:creator>pc</dc:creator>
  <cp:lastModifiedBy>pc</cp:lastModifiedBy>
  <dcterms:modified xsi:type="dcterms:W3CDTF">2018-12-25T01:03:38Z</dcterms:modified>
  <dc:title>附件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