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2"/>
      </w:pPr>
      <w:r>
        <w:rPr>
          <w:b/>
          <w:sz w:val="28"/>
        </w:rPr>
        <w:t>项目名称：</w:t>
      </w:r>
      <w:r>
        <w:rPr>
          <w:b/>
          <w:sz w:val="28"/>
        </w:rPr>
        <w:t>元帅庙修缮工程</w:t>
      </w:r>
    </w:p>
    <w:p>
      <w:pPr>
        <w:pStyle w:val="null3"/>
        <w:jc w:val="center"/>
        <w:outlineLvl w:val="2"/>
      </w:pPr>
      <w:r>
        <w:rPr>
          <w:b/>
          <w:sz w:val="28"/>
        </w:rPr>
        <w:t>备案编号：</w:t>
      </w:r>
      <w:r>
        <w:rPr>
          <w:b/>
          <w:sz w:val="28"/>
        </w:rPr>
        <w:t>CGXM-2023-350101-02938[2023]00666</w:t>
      </w:r>
    </w:p>
    <w:p>
      <w:pPr>
        <w:pStyle w:val="null3"/>
        <w:jc w:val="center"/>
        <w:outlineLvl w:val="2"/>
      </w:pPr>
      <w:r>
        <w:rPr>
          <w:b/>
          <w:sz w:val="28"/>
        </w:rPr>
        <w:t>项目编号：</w:t>
      </w:r>
      <w:r>
        <w:rPr>
          <w:b/>
          <w:sz w:val="28"/>
        </w:rPr>
        <w:t>[350101]CXGC[CS]2023001</w:t>
      </w:r>
    </w:p>
    <w:p>
      <w:pPr>
        <w:pStyle w:val="null3"/>
        <w:jc w:val="center"/>
        <w:outlineLvl w:val="2"/>
      </w:pPr>
      <w:r>
        <w:rPr>
          <w:b/>
          <w:sz w:val="28"/>
        </w:rPr>
        <w:t>采购人：</w:t>
      </w:r>
      <w:r>
        <w:rPr>
          <w:b/>
          <w:sz w:val="28"/>
        </w:rPr>
        <w:t>福州市文物局</w:t>
      </w:r>
    </w:p>
    <w:p>
      <w:pPr>
        <w:pStyle w:val="null3"/>
        <w:jc w:val="center"/>
        <w:outlineLvl w:val="2"/>
      </w:pPr>
      <w:r>
        <w:rPr>
          <w:b/>
          <w:sz w:val="28"/>
        </w:rPr>
        <w:t>代理机构：</w:t>
      </w:r>
      <w:r>
        <w:rPr>
          <w:b/>
          <w:sz w:val="28"/>
        </w:rPr>
        <w:t>福建灿鑫工程管理有限公司</w:t>
      </w:r>
    </w:p>
    <w:p>
      <w:pPr>
        <w:pStyle w:val="null3"/>
        <w:jc w:val="center"/>
        <w:outlineLvl w:val="2"/>
      </w:pPr>
      <w:r>
        <w:rPr>
          <w:b/>
          <w:sz w:val="28"/>
        </w:rPr>
        <w:t>编制时间</w:t>
      </w:r>
      <w:r>
        <w:rPr>
          <w:b/>
          <w:sz w:val="28"/>
        </w:rPr>
        <w:t>：</w:t>
      </w:r>
      <w:r>
        <w:rPr>
          <w:b/>
          <w:sz w:val="28"/>
        </w:rPr>
        <w:t>2023年03月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福州市文物局</w:t>
      </w:r>
      <w:r>
        <w:rPr/>
        <w:t>已根据政府采购相关法律法规，经相应程序确定采用 竞争性磋商 方式组织</w:t>
      </w:r>
      <w:r>
        <w:rPr/>
        <w:t>元帅庙修缮工程</w:t>
      </w:r>
      <w:r>
        <w:rPr/>
        <w:t>项目（以下简称：“本项目”）的政府采购活动，</w:t>
      </w:r>
      <w:r>
        <w:rPr/>
        <w:t>现欢迎国内合格的供应商前来参加。</w:t>
      </w:r>
      <w:r>
        <w:rPr/>
        <w:t>本项目由采购人委托</w:t>
      </w:r>
      <w:r>
        <w:rPr/>
        <w:t>福建灿鑫工程管理有限公司</w:t>
      </w:r>
      <w:r>
        <w:rPr/>
        <w:t>开展竞争性磋商活动。</w:t>
      </w:r>
    </w:p>
    <w:p>
      <w:pPr>
        <w:pStyle w:val="null3"/>
        <w:ind w:firstLine="480"/>
        <w:jc w:val="left"/>
        <w:outlineLvl w:val="2"/>
      </w:pPr>
      <w:r>
        <w:rPr>
          <w:b/>
          <w:sz w:val="28"/>
        </w:rPr>
        <w:t>1.项目名称</w:t>
      </w:r>
      <w:r>
        <w:rPr>
          <w:b/>
          <w:sz w:val="28"/>
        </w:rPr>
        <w:t>：</w:t>
      </w:r>
      <w:r>
        <w:rPr>
          <w:b/>
          <w:sz w:val="28"/>
        </w:rPr>
        <w:t>元帅庙修缮工程</w:t>
      </w:r>
    </w:p>
    <w:p>
      <w:pPr>
        <w:pStyle w:val="null3"/>
        <w:ind w:firstLine="480"/>
        <w:jc w:val="left"/>
        <w:outlineLvl w:val="2"/>
      </w:pPr>
      <w:r>
        <w:rPr>
          <w:b/>
          <w:sz w:val="28"/>
        </w:rPr>
        <w:t>2.备案编号</w:t>
      </w:r>
      <w:r>
        <w:rPr>
          <w:b/>
          <w:sz w:val="28"/>
        </w:rPr>
        <w:t>：</w:t>
      </w:r>
      <w:r>
        <w:rPr>
          <w:b/>
          <w:sz w:val="28"/>
        </w:rPr>
        <w:t>CGXM-2023-350101-02938[2023]00666</w:t>
      </w:r>
    </w:p>
    <w:p>
      <w:pPr>
        <w:pStyle w:val="null3"/>
        <w:ind w:firstLine="480"/>
        <w:jc w:val="left"/>
        <w:outlineLvl w:val="2"/>
      </w:pPr>
      <w:r>
        <w:rPr>
          <w:b/>
          <w:sz w:val="28"/>
        </w:rPr>
        <w:t>3.项目编号</w:t>
      </w:r>
      <w:r>
        <w:rPr>
          <w:b/>
          <w:sz w:val="28"/>
        </w:rPr>
        <w:t>：</w:t>
      </w:r>
      <w:r>
        <w:rPr>
          <w:b/>
          <w:sz w:val="28"/>
        </w:rPr>
        <w:t>[350101]CXGC[CS]2023001</w:t>
      </w:r>
    </w:p>
    <w:p>
      <w:pPr>
        <w:pStyle w:val="null3"/>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2,240,484.00</w:t>
      </w:r>
    </w:p>
    <w:p>
      <w:pPr>
        <w:pStyle w:val="null3"/>
        <w:jc w:val="left"/>
      </w:pPr>
      <w:r>
        <w:rPr/>
        <w:t>采购包最高限价（元）: 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元帅庙修缮工程</w:t>
            </w:r>
          </w:p>
        </w:tc>
        <w:tc>
          <w:tcPr>
            <w:tcW w:type="dxa" w:w="1187"/>
          </w:tcPr>
          <w:p>
            <w:pPr>
              <w:pStyle w:val="null3"/>
              <w:jc w:val="right"/>
            </w:pPr>
            <w:r>
              <w:rPr/>
              <w:t>1.00</w:t>
            </w:r>
          </w:p>
        </w:tc>
        <w:tc>
          <w:tcPr>
            <w:tcW w:type="dxa" w:w="1187"/>
          </w:tcPr>
          <w:p>
            <w:pPr>
              <w:pStyle w:val="null3"/>
              <w:jc w:val="right"/>
            </w:pPr>
            <w:r>
              <w:rPr/>
              <w:t>2,240,484.00</w:t>
            </w:r>
          </w:p>
        </w:tc>
        <w:tc>
          <w:tcPr>
            <w:tcW w:type="dxa" w:w="1187"/>
          </w:tcPr>
          <w:p>
            <w:pPr>
              <w:pStyle w:val="null3"/>
              <w:jc w:val="left"/>
            </w:pPr>
            <w:r>
              <w:rPr/>
              <w:t>项</w:t>
            </w:r>
          </w:p>
        </w:tc>
        <w:tc>
          <w:tcPr>
            <w:tcW w:type="dxa" w:w="1187"/>
          </w:tcPr>
          <w:p>
            <w:pPr>
              <w:pStyle w:val="null3"/>
              <w:jc w:val="left"/>
            </w:pPr>
            <w:r>
              <w:rPr/>
              <w:t>建筑业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信息安全产品：</w:t>
      </w:r>
      <w:r>
        <w:rPr/>
        <w:t>不适用</w:t>
      </w:r>
    </w:p>
    <w:p>
      <w:pPr>
        <w:pStyle w:val="null3"/>
        <w:ind w:firstLine="960"/>
        <w:jc w:val="left"/>
      </w:pPr>
      <w:r>
        <w:rPr/>
        <w:t>信用记录：</w:t>
      </w:r>
    </w:p>
    <w:p>
      <w:pPr>
        <w:pStyle w:val="null3"/>
        <w:ind w:firstLine="960"/>
        <w:jc w:val="left"/>
      </w:pPr>
    </w:p>
    <w:p>
      <w:pPr>
        <w:pStyle w:val="null3"/>
        <w:jc w:val="left"/>
      </w:pPr>
      <w:r>
        <w:rPr/>
        <w:t>进口产品，不适用。节能产品，不适用。环境标志产品，不适用。信息安全产品，不适用。小型、微型企业，适用于本项目。监狱企业，适用于本项目。促进残疾人就业，适用于本项目。信用记录，适用于本项目，按照下列规定执行：（1）根据《关于在政府采购活动中查询及使用信用记录有关问题的通知》（财库〔2016〕125号）文件规定，报价人不得被列入失信被执行人、重大税收违法案件当事人名单、政府采购严重违法失信行为记录名单。（2）查询结果的审查：①由采购代理机构通过“信用中国”网站（www.creditchina.gov.cn）、中国政府采购网（www.ccgp.gov.cn）查询并打印报价人信用记录（以下简称：“采购代理机构的查询结果”）。②因上述网站原因导致采购代理机构无法查询报价人信用记录的（采购代理机构应将通过上述网站查询报价人信用记录时的原始页面打印后随采购文件一并存档），视为查询结果未存在报价人应被拒绝参与政府采购活动相关的信息。③查询结果存在报价人应被拒绝参与政府采购活动相关信息的，其资格审查不合格。（3）竞争性磋商文件其他与此条有冲突的，以此条为准。其他政府采购相关法律法规，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资格承诺函</w:t>
            </w:r>
          </w:p>
        </w:tc>
        <w:tc>
          <w:tcPr>
            <w:tcW w:type="dxa" w:w="4614"/>
          </w:tcPr>
          <w:p>
            <w:pPr>
              <w:pStyle w:val="null3"/>
              <w:jc w:val="left"/>
            </w:pPr>
            <w:r>
              <w:rPr/>
              <w:t>供应商在投标（响应）时，按照规定提供相关承诺函的（格式详见采购文件附件），无需再提交财务状况报告、缴纳税收和社保资金缴纳等证明材料；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3692"/>
          </w:tcPr>
          <w:p>
            <w:pPr>
              <w:pStyle w:val="null3"/>
              <w:jc w:val="left"/>
            </w:pPr>
            <w:r>
              <w:rPr/>
              <w:t>特定资格</w:t>
            </w:r>
          </w:p>
        </w:tc>
        <w:tc>
          <w:tcPr>
            <w:tcW w:type="dxa" w:w="4614"/>
          </w:tcPr>
          <w:p>
            <w:pPr>
              <w:pStyle w:val="null3"/>
              <w:jc w:val="left"/>
            </w:pPr>
            <w:r>
              <w:rPr/>
              <w:t>供应商需具备文物行政主管部门颁发的文物保护工程施工古建筑范围资质二级（含）以上资质和建筑施工《安全生产许可证》，须提供有效的资质证书复印件和许可证复印件。</w:t>
            </w:r>
          </w:p>
        </w:tc>
      </w:tr>
      <w:tr>
        <w:tc>
          <w:tcPr>
            <w:tcW w:type="dxa" w:w="3692"/>
          </w:tcPr>
          <w:p>
            <w:pPr>
              <w:pStyle w:val="null3"/>
              <w:jc w:val="left"/>
            </w:pPr>
            <w:r>
              <w:rPr/>
              <w:t>财务状况报告</w:t>
            </w:r>
          </w:p>
        </w:tc>
        <w:tc>
          <w:tcPr>
            <w:tcW w:type="dxa" w:w="4614"/>
          </w:tcPr>
          <w:p>
            <w:pPr>
              <w:pStyle w:val="null3"/>
              <w:jc w:val="left"/>
            </w:pPr>
            <w:r>
              <w:rPr/>
              <w:t>资格证明文件资料要求中“财务状况报告”成立年限满1年及以上的供应商，提供经审计的上一年度的年度财务报告可以为2021年度或者2022年度经审计的财务报告。本竞争性磋商文件中若有与此处不一致的，以此处补充说明为准。</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福州市文物局</w:t>
      </w:r>
    </w:p>
    <w:p>
      <w:pPr>
        <w:pStyle w:val="null3"/>
        <w:ind w:firstLine="960"/>
        <w:jc w:val="left"/>
      </w:pPr>
    </w:p>
    <w:p>
      <w:pPr>
        <w:pStyle w:val="null3"/>
        <w:jc w:val="left"/>
      </w:pPr>
    </w:p>
    <w:p>
      <w:pPr>
        <w:pStyle w:val="null3"/>
        <w:jc w:val="left"/>
      </w:pPr>
      <w:r>
        <w:rPr/>
        <w:t>地址：</w:t>
      </w:r>
      <w:r>
        <w:rPr/>
        <w:t>福州市仓山区南江滨西大道193号东部办公区3号楼10层</w:t>
      </w:r>
    </w:p>
    <w:p>
      <w:pPr>
        <w:pStyle w:val="null3"/>
        <w:jc w:val="left"/>
      </w:pPr>
      <w:r>
        <w:rPr/>
        <w:t>邮编：</w:t>
      </w:r>
      <w:r>
        <w:rPr/>
        <w:t>350026</w:t>
      </w:r>
    </w:p>
    <w:p>
      <w:pPr>
        <w:pStyle w:val="null3"/>
        <w:jc w:val="left"/>
      </w:pPr>
      <w:r>
        <w:rPr/>
        <w:t>联系人：</w:t>
      </w:r>
      <w:r>
        <w:rPr/>
        <w:t>吴老师</w:t>
      </w:r>
    </w:p>
    <w:p>
      <w:pPr>
        <w:pStyle w:val="null3"/>
        <w:jc w:val="left"/>
      </w:pPr>
      <w:r>
        <w:rPr/>
        <w:t>联系电话：</w:t>
      </w:r>
      <w:r>
        <w:rPr/>
        <w:t>0591-83162128</w:t>
      </w:r>
    </w:p>
    <w:p>
      <w:pPr>
        <w:pStyle w:val="null3"/>
        <w:ind w:firstLine="480"/>
        <w:jc w:val="left"/>
        <w:outlineLvl w:val="2"/>
      </w:pPr>
      <w:r>
        <w:rPr>
          <w:b/>
          <w:sz w:val="28"/>
        </w:rPr>
        <w:t>14、代理机构</w:t>
      </w:r>
      <w:r>
        <w:rPr>
          <w:b/>
          <w:sz w:val="28"/>
        </w:rPr>
        <w:t>：</w:t>
      </w:r>
      <w:r>
        <w:rPr>
          <w:b/>
          <w:sz w:val="28"/>
        </w:rPr>
        <w:t>福建灿鑫工程管理有限公司</w:t>
      </w:r>
    </w:p>
    <w:p>
      <w:pPr>
        <w:pStyle w:val="null3"/>
        <w:ind w:firstLine="960"/>
        <w:jc w:val="left"/>
      </w:pPr>
    </w:p>
    <w:p>
      <w:pPr>
        <w:pStyle w:val="null3"/>
        <w:jc w:val="left"/>
      </w:pPr>
    </w:p>
    <w:p>
      <w:pPr>
        <w:pStyle w:val="null3"/>
        <w:jc w:val="left"/>
      </w:pPr>
      <w:r>
        <w:rPr/>
        <w:t>地址：</w:t>
      </w:r>
      <w:r>
        <w:rPr/>
        <w:t>福州市仓山区金山街道闽江大道260号福州红星国际1#楼写字楼2层05-10室</w:t>
      </w:r>
    </w:p>
    <w:p>
      <w:pPr>
        <w:pStyle w:val="null3"/>
        <w:jc w:val="left"/>
      </w:pPr>
      <w:r>
        <w:rPr/>
        <w:t>邮编：</w:t>
      </w:r>
      <w:r>
        <w:rPr/>
        <w:t>{{未填写}}</w:t>
      </w:r>
    </w:p>
    <w:p>
      <w:pPr>
        <w:pStyle w:val="null3"/>
        <w:jc w:val="left"/>
      </w:pPr>
      <w:r>
        <w:rPr/>
        <w:t>联系人：</w:t>
      </w:r>
      <w:r>
        <w:rPr/>
        <w:t>杨斌</w:t>
      </w:r>
    </w:p>
    <w:p>
      <w:pPr>
        <w:pStyle w:val="null3"/>
        <w:jc w:val="left"/>
      </w:pPr>
      <w:r>
        <w:rPr/>
        <w:t>联系电话：</w:t>
      </w:r>
      <w:r>
        <w:rPr/>
        <w:t>15280073402</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福建灿鑫工程管理有限公司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资格承诺函</w:t>
                  </w:r>
                </w:p>
              </w:tc>
              <w:tc>
                <w:tcPr>
                  <w:tcW w:type="dxa" w:w="1418"/>
                </w:tcPr>
                <w:p>
                  <w:pPr>
                    <w:pStyle w:val="null3"/>
                    <w:jc w:val="center"/>
                  </w:pPr>
                  <w:r>
                    <w:rPr>
                      <w:b/>
                    </w:rPr>
                    <w:t>供应商在投标（响应）时，按照规定提供相关承诺函的（格式详见采购文件附件），无需再提交财务状况报告、缴纳税收和社保资金缴纳等证明材料；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w:t>
                  </w:r>
                </w:p>
              </w:tc>
            </w:tr>
            <w:tr>
              <w:tc>
                <w:tcPr>
                  <w:tcW w:type="dxa" w:w="1135"/>
                </w:tcPr>
                <w:p>
                  <w:pPr>
                    <w:pStyle w:val="null3"/>
                    <w:jc w:val="center"/>
                  </w:pPr>
                  <w:r>
                    <w:rPr>
                      <w:b/>
                    </w:rPr>
                    <w:t>特定资格</w:t>
                  </w:r>
                </w:p>
              </w:tc>
              <w:tc>
                <w:tcPr>
                  <w:tcW w:type="dxa" w:w="1418"/>
                </w:tcPr>
                <w:p>
                  <w:pPr>
                    <w:pStyle w:val="null3"/>
                    <w:jc w:val="center"/>
                  </w:pPr>
                  <w:r>
                    <w:rPr>
                      <w:b/>
                    </w:rPr>
                    <w:t>供应商需具备文物行政主管部门颁发的文物保护工程施工古建筑范围资质二级（含）以上资质和建筑施工《安全生产许可证》，须提供有效的资质证书复印件和许可证复印件。</w:t>
                  </w:r>
                </w:p>
              </w:tc>
            </w:tr>
            <w:tr>
              <w:tc>
                <w:tcPr>
                  <w:tcW w:type="dxa" w:w="1135"/>
                </w:tcPr>
                <w:p>
                  <w:pPr>
                    <w:pStyle w:val="null3"/>
                    <w:jc w:val="center"/>
                  </w:pPr>
                  <w:r>
                    <w:rPr>
                      <w:b/>
                    </w:rPr>
                    <w:t>财务状况报告</w:t>
                  </w:r>
                </w:p>
              </w:tc>
              <w:tc>
                <w:tcPr>
                  <w:tcW w:type="dxa" w:w="1418"/>
                </w:tcPr>
                <w:p>
                  <w:pPr>
                    <w:pStyle w:val="null3"/>
                    <w:jc w:val="center"/>
                  </w:pPr>
                  <w:r>
                    <w:rPr>
                      <w:b/>
                    </w:rPr>
                    <w:t>资格证明文件资料要求中“财务状况报告”成立年限满1年及以上的供应商，提供经审计的上一年度的年度财务报告可以为2021年度或者2022年度经审计的财务报告。本竞争性磋商文件中若有与此处不一致的，以此处补充说明为准。</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10.1</w:t>
            </w:r>
          </w:p>
        </w:tc>
        <w:tc>
          <w:tcPr>
            <w:tcW w:type="dxa" w:w="2769"/>
          </w:tcPr>
          <w:p>
            <w:pPr>
              <w:pStyle w:val="null3"/>
              <w:jc w:val="center"/>
            </w:pPr>
            <w:r>
              <w:rPr>
                <w:b/>
              </w:rPr>
              <w:t>提交磋商保证金：</w:t>
            </w:r>
            <w:r>
              <w:rPr>
                <w:b/>
              </w:rPr>
              <w:t>本项目的磋商保证金详见《采购标的一览表》，数额不得超过采购项目预算金额的2%，提交方式为银行转账，须于提交响应文件截止时间前到达指定账户为准，是否到达以福建省政府采购网上公开信息系统记载为准；</w:t>
            </w:r>
          </w:p>
          <w:p>
            <w:pPr>
              <w:pStyle w:val="null3"/>
              <w:jc w:val="center"/>
            </w:pPr>
            <w:r>
              <w:rPr>
                <w:b/>
              </w:rPr>
              <w:t>其他：</w:t>
            </w:r>
          </w:p>
          <w:p>
            <w:pPr>
              <w:pStyle w:val="null3"/>
              <w:jc w:val="center"/>
            </w:pPr>
            <w:r>
              <w:rPr>
                <w:b/>
              </w:rPr>
              <w:t>报价人未按照磋商文件要求提交磋商保证金的，响应无效。 （2）报价人的磋商保证金未在提交首次响应文件截止时间前到达指定账户的，响应无效。 （3）磋商保证金未以报价人名义提交的，响应无效。</w:t>
            </w:r>
          </w:p>
        </w:tc>
      </w:tr>
      <w:tr>
        <w:tc>
          <w:tcPr>
            <w:tcW w:type="dxa" w:w="2769"/>
          </w:tcPr>
          <w:p>
            <w:pPr>
              <w:pStyle w:val="null3"/>
              <w:jc w:val="center"/>
            </w:pPr>
            <w:r>
              <w:rPr>
                <w:b/>
              </w:rPr>
              <w:t>6</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7</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1</w:t>
            </w:r>
            <w:r>
              <w:rPr>
                <w:b/>
              </w:rPr>
              <w:t>份、副本</w:t>
            </w:r>
            <w:r>
              <w:rPr>
                <w:b/>
              </w:rPr>
              <w:t>1</w:t>
            </w:r>
            <w:r>
              <w:rPr>
                <w:b/>
              </w:rPr>
              <w:t>份。</w:t>
            </w:r>
          </w:p>
          <w:p>
            <w:pPr>
              <w:pStyle w:val="null3"/>
              <w:jc w:val="center"/>
            </w:pPr>
            <w:r>
              <w:rPr>
                <w:b/>
              </w:rPr>
              <w:t>②可读介质（光盘或U盘）</w:t>
            </w:r>
            <w:r>
              <w:rPr>
                <w:b/>
              </w:rPr>
              <w:t>1</w:t>
            </w:r>
            <w:r>
              <w:rPr>
                <w:b/>
              </w:rPr>
              <w:t>份：将上传至福建省政府采购网上公开信息系统的电子响应文件在可读介质中另存</w:t>
            </w:r>
            <w:r>
              <w:rPr>
                <w:b/>
              </w:rPr>
              <w:t>1</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8</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center"/>
            </w:pPr>
            <w:r>
              <w:rPr>
                <w:b/>
              </w:rPr>
              <w:t>9</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10</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center"/>
            </w:pPr>
            <w:r>
              <w:rPr>
                <w:b/>
              </w:rPr>
              <w:t>11</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12</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福州市财政局</w:t>
            </w:r>
          </w:p>
        </w:tc>
      </w:tr>
      <w:tr>
        <w:tc>
          <w:tcPr>
            <w:tcW w:type="dxa" w:w="2769"/>
          </w:tcPr>
          <w:p>
            <w:pPr>
              <w:pStyle w:val="null3"/>
              <w:jc w:val="center"/>
            </w:pPr>
            <w:r>
              <w:rPr>
                <w:b/>
              </w:rPr>
              <w:t>13</w:t>
            </w:r>
          </w:p>
        </w:tc>
        <w:tc>
          <w:tcPr>
            <w:tcW w:type="dxa" w:w="2769"/>
          </w:tcPr>
          <w:p>
            <w:pPr>
              <w:pStyle w:val="null3"/>
              <w:jc w:val="center"/>
            </w:pPr>
            <w:r>
              <w:rPr>
                <w:b/>
              </w:rPr>
              <w:t>24.1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14</w:t>
            </w:r>
          </w:p>
        </w:tc>
        <w:tc>
          <w:tcPr>
            <w:tcW w:type="dxa" w:w="2769"/>
          </w:tcPr>
          <w:p>
            <w:pPr>
              <w:pStyle w:val="null3"/>
              <w:jc w:val="center"/>
            </w:pPr>
            <w:r>
              <w:rPr>
                <w:b/>
              </w:rPr>
              <w:t>25</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代理服务费收费标准：本项目招标代理服务费由成交供应商支付，招标代理服务费按以下方法来计算：（1）招标代理服务费收取标准： ①以成交通知书规定的成交总金额作为收费的计算基数。 ②0（万元）-100(万元)以下收费费率标准：1.5%；③100（万元）-500 （万元）收费费率标准：0.7%；（2）招标代理服务费收取方式：招标代理服务费收费以银行转账、电汇、汇票等非现金付款方式支付。 （3）招标代理服务费缴交银行账号： 开户名：福建灿鑫工程管理有限公司 开户行：中国建设银行股份有限公司福州南江滨支行 账号：35050188630000000092</w:t>
            </w:r>
          </w:p>
          <w:p>
            <w:pPr>
              <w:pStyle w:val="null3"/>
              <w:jc w:val="center"/>
            </w:pPr>
            <w:r>
              <w:rPr>
                <w:b/>
              </w:rPr>
              <w:t>(2)其他：</w:t>
            </w:r>
          </w:p>
          <w:p>
            <w:pPr>
              <w:pStyle w:val="null3"/>
              <w:jc w:val="center"/>
            </w:pPr>
            <w:r>
              <w:rPr>
                <w:b/>
              </w:rPr>
              <w:t>2.1本项目采购公告中各合同包预算价为最高限价，报价人超过最高限价的报价为无效报价。根据《中华人民共和国价格法》第六条、第十八条规定，报价人依法有权自主制定属于市场调节的价格，有权根据企业的生产经营成本等自身情况和市场供求状况等外部因素自主定价。 2.2实质性要求和条件：2.2.1报价人响应文件中承诺的服务期、付款方式、售后服务必须满足磋商文件要求，若报价人的承诺不满足磋商文件要求或未在磋商文件中作出承诺的将被视为 未实质性响应磋商文件要求，其响应无效。 2.2.2无效响应：以下为可能导致无效响应的条款，具体内容详见磋商文件各章节，请各报价人认真查看对照。 (1)投标报价不符合报价人须知前附表第14项号2.1条款规定的。 (2)出现“评审的标准和方法”无效响应规定的。 (3)出现第二章《竞争性磋商须知》无效响应处理规定的。 (4)出现第三章《采购内容及要求》无效响应规定的。 (5)出现第三章《采购内容及要求》中“★”标示的内容为负偏离的。 (6)明显不符合技术和服务要求的为无效响应。 (7)内容不全或关键字迹模糊、无法辨认的为无效响应。 2.3报价人必须对其响应文件中提供各种资料、说明的真实性负责。在评标过程中，如有发现报价人有为谋取成交而提供虚假资料欺骗采购人和磋商小组的行为，将 取消其成交资格，其磋商保证金将不予退还。若在成交后和执行合同过程中发现其提供虚假资料的将取消其成交资格，给采购人造成损失的，还必须进行赔偿并负相 关责任。评标过程中无论是否有对原件进行核实，报价人都必须对其提供各种资料、说明的真实性负责。 2.4参加磋商的报价人应当按照磋商文件的变动情况和磋商小组的要求重新提交响应文件，并由其法定代表人或授权代表签字或者加盖公章。由授权代表签字的，应当附法定代表人授权书。 2.5密封及其标记的具体形式： 2.5.1报价人须按照报价人须知前附表第7项号11.1条款规定编制响应文件。正本必须用A4幅面纸张打印装订并胶装成册，应编制封面目录、页码，必须用胶装（为永久性、无破坏不可拆的）加盖骑缝章并逐页盖章。副本可以用正本的完整复印件并按规定胶装成册，并在封面标明“正本”、“副本”字样。正本与副本如有不一致，则以正本为准。 2.5.2电子文件，报价人必须随响应文件同时提交一套全部响应文件内容的电子文件（U盘或光盘，无病毒），其中所有文件不做压缩处理、不设密码，资质文件和证书等可用扫描以图片方式保存。 2.5.3报价人应将纸质响应文件及电子响应文件各自分别用密封袋单独密封，密封袋的封装要标准、袋口要封条并盖密封章，并标明项目名称、项目编号、所投合同包、报价人的全称及“正本”或“副本”字样。响应文件未密封将导致投标被拒绝。 2.5.4每一信封密封处应注明“于（北京时间）（指招标邀请中规定的开标日期及时间）之前不准启封”的字样，并加盖报价人公章。 2.5.5开标时由采购代理机构工作人员持报价人的CA卡解密已上传的电子响应文件，报价人开标现场必须携带CA（不与纸质响应文件、电子响应文件一同密封），开标应当在磋商文件确定的提交响应文件截止时间的同一时间进行，若因报价人未携带CA导致其电子响应文件无法在开标时正常解密，各报价人将自行承担因未携带 CA而产生的相应后果。 2.6本项目推荐合同包1成交候选人数为3家，确定成交人数为1家。</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15</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无</w:t>
            </w:r>
            <w:r>
              <w:rPr>
                <w:b/>
              </w:rPr>
              <w:t>的内容修正为下列内容：</w:t>
            </w:r>
          </w:p>
          <w:p>
            <w:pPr>
              <w:pStyle w:val="null3"/>
              <w:jc w:val="left"/>
            </w:pPr>
            <w:r>
              <w:rPr>
                <w:b/>
              </w:rPr>
              <w:t>无</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无</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满分为19.00分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b/>
              </w:rPr>
              <w:t>项目</w:t>
            </w:r>
          </w:p>
        </w:tc>
        <w:tc>
          <w:tcPr>
            <w:tcW w:type="dxa" w:w="1661"/>
          </w:tcPr>
          <w:p>
            <w:pPr>
              <w:pStyle w:val="null3"/>
              <w:jc w:val="left"/>
            </w:pPr>
            <w:r>
              <w:rPr>
                <w:b/>
              </w:rPr>
              <w:t>适用对象</w:t>
            </w:r>
          </w:p>
        </w:tc>
        <w:tc>
          <w:tcPr>
            <w:tcW w:type="dxa" w:w="831"/>
          </w:tcPr>
          <w:p>
            <w:pPr>
              <w:pStyle w:val="null3"/>
              <w:jc w:val="left"/>
            </w:pPr>
            <w:r>
              <w:rPr>
                <w:b/>
              </w:rPr>
              <w:t>比例</w:t>
            </w:r>
          </w:p>
        </w:tc>
        <w:tc>
          <w:tcPr>
            <w:tcW w:type="dxa" w:w="4153"/>
          </w:tcPr>
          <w:p>
            <w:pPr>
              <w:pStyle w:val="null3"/>
              <w:jc w:val="left"/>
            </w:pPr>
            <w:r>
              <w:rPr>
                <w:b/>
              </w:rPr>
              <w:t>描述</w:t>
            </w:r>
          </w:p>
        </w:tc>
      </w:tr>
      <w:tr>
        <w:tc>
          <w:tcPr>
            <w:tcW w:type="dxa" w:w="1661"/>
          </w:tcPr>
          <w:p>
            <w:pPr>
              <w:pStyle w:val="null3"/>
              <w:jc w:val="left"/>
            </w:pPr>
            <w:r>
              <w:rPr>
                <w:b/>
              </w:rPr>
              <w:t>小型、微型企业，监狱企业，残疾人福利性单位</w:t>
            </w:r>
          </w:p>
        </w:tc>
        <w:tc>
          <w:tcPr>
            <w:tcW w:type="dxa" w:w="1661"/>
          </w:tcPr>
          <w:p>
            <w:pPr>
              <w:pStyle w:val="null3"/>
              <w:jc w:val="left"/>
            </w:pPr>
            <w:r>
              <w:rPr>
                <w:b/>
              </w:rPr>
              <w:t>投标人或者联合体均为小型、微型企业</w:t>
            </w:r>
          </w:p>
        </w:tc>
        <w:tc>
          <w:tcPr>
            <w:tcW w:type="dxa" w:w="831"/>
          </w:tcPr>
          <w:p>
            <w:pPr>
              <w:pStyle w:val="null3"/>
              <w:jc w:val="right"/>
            </w:pPr>
            <w:r>
              <w:rPr>
                <w:b/>
              </w:rPr>
              <w:t>5.00%</w:t>
            </w:r>
          </w:p>
        </w:tc>
        <w:tc>
          <w:tcPr>
            <w:tcW w:type="dxa" w:w="4153"/>
          </w:tcPr>
          <w:p>
            <w:pPr>
              <w:pStyle w:val="null3"/>
              <w:jc w:val="left"/>
            </w:pPr>
            <w:r>
              <w:rPr>
                <w:b/>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2、在政府采购活动中，报价人提供的货物、工程或者服务符合下列情形的，享受本评标项目第(一)条第3点规定的中小企业扶持政策：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在货物采购项目中，报价人提供的货物既有中小企业制造货物，也有大型企业制造货物的，不享受本评标项目第(一)条第3点规定的中小企业扶持政策。 3、本项目为非专门面向中小企业的项目，对小微企业报价给予15%的扣除（工程项目为5%），用扣除后的价格参加评审。残疾人集中就业企业、监狱企业视同小微企业，享受评审中价格扣除的政府采购政策。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6、采购标的对应的中小企业划分标准所属行业为建筑业。 注：中小企业参加政府采购活动，应当出具《政府采购促进中小企业发展管理办法》规定的《中小企业声明函》(见采购文件相关附件), 否则不得享受相关中小企业扶持政策。磋商小组审查此项响应性只根据响应文件本身的内容，而不寻求其他的外部证据。根据财政部、工业和信息化部关于发布《政府采购促进中小企业发展管理办法》(财库〔2020〕46号)的规定，成交人享受本办法规定的中小企业扶持政策的，采购人、采购代理机构应当随成交结果公开成交人的《中小企业声明函》。报价人按照本办法规定提供声明函内容不实的，属于提供虚假材料谋取中标，依照《中华人民共和国政府采购法》等国家有关规定追究相应责任。（二）残疾人福利性单位价格的扣除详见其他</w:t>
            </w:r>
          </w:p>
        </w:tc>
      </w:tr>
    </w:tbl>
    <w:p>
      <w:pPr>
        <w:pStyle w:val="null3"/>
        <w:jc w:val="left"/>
      </w:pPr>
      <w:r>
        <w:rPr>
          <w:b/>
        </w:rPr>
        <w:t>其他：</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描述</w:t>
            </w:r>
          </w:p>
        </w:tc>
      </w:tr>
      <w:tr>
        <w:tc>
          <w:tcPr>
            <w:tcW w:type="dxa" w:w="8306"/>
          </w:tcPr>
          <w:p>
            <w:pPr>
              <w:pStyle w:val="null3"/>
              <w:jc w:val="left"/>
            </w:pPr>
            <w:r>
              <w:rPr>
                <w:b/>
              </w:rPr>
              <w:t>(二) 残疾人福利性单位价格的扣除： 1、根据财政部 民政部 中国残疾人联合会印发的《三部门联合发布关于促进残疾人就业政府采购政策的通知》财库〔2017〕141号和福建省财政厅 福建省民政厅 福建省残疾人联合会印发的《关于进一步落实政府采购支持残疾人就业政策的通知》，依照《政府采购法》、《残疾人保障法》等法律法规及相关规定，享受政府采购支持政策的残疾人福利性单位应当同时满足以下条件： (1)安置的残疾人占本单位在职职工人数的比例不低于25%(含25%)，并且安置的残疾人人数不少于10人(含10人)； (2)依法与安置的每位残疾人签订了一年以上(含一年)的劳动合同或服务协议； (3)为安置的每位残疾人按月足额缴纳了基本养老保险、基本医疗保险、失业保险、工伤保险和生育保险等社会保险费； (4)通过银行等金融机构向安置的每位残疾人，按月支付了不低于单位所在区县适用的经省级人民政府批准的月最低工资标准的工资； (5)提供本单位制造的货物、承担的工程或者服务(以下简称产品)，或者提供其他残疾人福利性单位制造的货物(不包括使用非残疾人福利性单位注册商标的货物)。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2、符合条件的残疾人福利性单位在参加政府采购活动时，应当提供《三部门联合发布关于促进残疾人就业政府采购政策的通知》规定的《残疾人福利性单位声明函》(见第五章首次响应文件格式)，并对声明的真实性负责。 3、在政府采购活动中，残疾人福利性单位视同小型、微型企业，对残疾人福利性单位产品价格给予15%的扣除；对残疾人福利性单位与其 他组织组成联合体参与政府采购活动的，残疾人福利性单位的协议合同金额占总合同金额 30%以上的，给予联合体合同金额 5%的价格扣除。残疾人福利性单位属于小微企业的，不重复享受政策(按照扣除比例较高的扣除)。 注：根据《财政部 民政部 中国残疾人联合会关于促进残疾人就业政府采购政策的通知》(财库〔2017〕 141号)的规定，成交人为残疾人福利性单位的，采购代理机构将随成交结果同时公告其《残疾人福利性单位声明函》，接受社会监督。报价人提供的《残疾人福利性单位声明函》与事实不符的，将依照《政府采购法》第七十七条第一款的规定被追究法律责任。 (本文件中其他有关对小微企业及其报价扣除描述情况与此处不一致的，以此处为准)</w:t>
            </w:r>
          </w:p>
        </w:tc>
      </w:tr>
    </w:tbl>
    <w:p>
      <w:pPr>
        <w:pStyle w:val="null3"/>
        <w:jc w:val="left"/>
      </w:pPr>
      <w:r>
        <w:rPr>
          <w:b/>
        </w:rPr>
        <w:t>技术部分评分PT 满分为69.00分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A1、响应情况</w:t>
            </w:r>
          </w:p>
        </w:tc>
        <w:tc>
          <w:tcPr>
            <w:tcW w:type="dxa" w:w="831"/>
          </w:tcPr>
          <w:p>
            <w:pPr>
              <w:pStyle w:val="null3"/>
              <w:jc w:val="right"/>
            </w:pPr>
            <w:r>
              <w:rPr>
                <w:b/>
              </w:rPr>
              <w:t>33.00</w:t>
            </w:r>
          </w:p>
        </w:tc>
        <w:tc>
          <w:tcPr>
            <w:tcW w:type="dxa" w:w="4153"/>
          </w:tcPr>
          <w:p>
            <w:pPr>
              <w:pStyle w:val="null3"/>
              <w:jc w:val="left"/>
            </w:pPr>
            <w:r>
              <w:rPr>
                <w:b/>
              </w:rPr>
              <w:t>根据各供应商对磋商文件第三章“二、技术要求”的响应情况进行评分，完全满足磋商文件要求的得33分，带“★”条款（共1项）为不可偏离条款，若负偏离则视为未实质性响应磋商文件，无效响应。其他条款（共20项）每负偏离一项扣1.65分,直到扣完为止。</w:t>
            </w:r>
          </w:p>
        </w:tc>
      </w:tr>
      <w:tr>
        <w:tc>
          <w:tcPr>
            <w:tcW w:type="dxa" w:w="3322"/>
          </w:tcPr>
          <w:p>
            <w:pPr>
              <w:pStyle w:val="null3"/>
              <w:jc w:val="left"/>
            </w:pPr>
            <w:r>
              <w:rPr>
                <w:b/>
              </w:rPr>
              <w:t>A2、对修缮本体的理解程度</w:t>
            </w:r>
          </w:p>
        </w:tc>
        <w:tc>
          <w:tcPr>
            <w:tcW w:type="dxa" w:w="831"/>
          </w:tcPr>
          <w:p>
            <w:pPr>
              <w:pStyle w:val="null3"/>
              <w:jc w:val="right"/>
            </w:pPr>
            <w:r>
              <w:rPr>
                <w:b/>
              </w:rPr>
              <w:t>3.00</w:t>
            </w:r>
          </w:p>
        </w:tc>
        <w:tc>
          <w:tcPr>
            <w:tcW w:type="dxa" w:w="4153"/>
          </w:tcPr>
          <w:p>
            <w:pPr>
              <w:pStyle w:val="null3"/>
              <w:jc w:val="left"/>
            </w:pPr>
            <w:r>
              <w:rPr>
                <w:b/>
              </w:rPr>
              <w:t>根据各供应商对修缮本体及其保护范围、建设控制地带的概念、划定方法、管控要求等了解情况，由磋商小组进行评议，了解最深入、描述最清晰、准确的得3分；了解较深入、描述较清晰、准确的得2分；基本了解，描述基本清晰、准确的得1分；未提供的不得分。</w:t>
            </w:r>
          </w:p>
        </w:tc>
      </w:tr>
      <w:tr>
        <w:tc>
          <w:tcPr>
            <w:tcW w:type="dxa" w:w="3322"/>
          </w:tcPr>
          <w:p>
            <w:pPr>
              <w:pStyle w:val="null3"/>
              <w:jc w:val="left"/>
            </w:pPr>
            <w:r>
              <w:rPr>
                <w:b/>
              </w:rPr>
              <w:t>A3、修缮技术方案</w:t>
            </w:r>
          </w:p>
        </w:tc>
        <w:tc>
          <w:tcPr>
            <w:tcW w:type="dxa" w:w="831"/>
          </w:tcPr>
          <w:p>
            <w:pPr>
              <w:pStyle w:val="null3"/>
              <w:jc w:val="right"/>
            </w:pPr>
            <w:r>
              <w:rPr>
                <w:b/>
              </w:rPr>
              <w:t>3.00</w:t>
            </w:r>
          </w:p>
        </w:tc>
        <w:tc>
          <w:tcPr>
            <w:tcW w:type="dxa" w:w="4153"/>
          </w:tcPr>
          <w:p>
            <w:pPr>
              <w:pStyle w:val="null3"/>
              <w:jc w:val="left"/>
            </w:pPr>
            <w:r>
              <w:rPr>
                <w:b/>
              </w:rPr>
              <w:t>根据供应商针对本项目提供的修缮大纲方案（包括保护修缮原则及设计时无法探明部分的实施方案，材料检测方案，修缮技术方案，判明原材料和原工艺做相应试制等），由磋商小组进行评议，方案合理、完善、详细、可行性好的得3分，方案不够合理、完善、详细、可行性一般的得2分，方案不合理、不完善、可行性差的得1分，未提供的不得分。</w:t>
            </w:r>
          </w:p>
        </w:tc>
      </w:tr>
      <w:tr>
        <w:tc>
          <w:tcPr>
            <w:tcW w:type="dxa" w:w="3322"/>
          </w:tcPr>
          <w:p>
            <w:pPr>
              <w:pStyle w:val="null3"/>
              <w:jc w:val="left"/>
            </w:pPr>
            <w:r>
              <w:rPr>
                <w:b/>
              </w:rPr>
              <w:t>A4、施工部署</w:t>
            </w:r>
          </w:p>
        </w:tc>
        <w:tc>
          <w:tcPr>
            <w:tcW w:type="dxa" w:w="831"/>
          </w:tcPr>
          <w:p>
            <w:pPr>
              <w:pStyle w:val="null3"/>
              <w:jc w:val="right"/>
            </w:pPr>
            <w:r>
              <w:rPr>
                <w:b/>
              </w:rPr>
              <w:t>3.00</w:t>
            </w:r>
          </w:p>
        </w:tc>
        <w:tc>
          <w:tcPr>
            <w:tcW w:type="dxa" w:w="4153"/>
          </w:tcPr>
          <w:p>
            <w:pPr>
              <w:pStyle w:val="null3"/>
              <w:jc w:val="left"/>
            </w:pPr>
            <w:r>
              <w:rPr>
                <w:b/>
              </w:rPr>
              <w:t>根据供应商针对本项目提供的实施质量、进度和安全目标；明确项目管理的总体安排，包括实行项目负责人责任制，项目负责人设立、岗位设置及相应的规章制度等，由磋商小组进行评议，施工部署完善、科学、合理的得3分，基本完善、科学、合理的得2分，基本可行但不详细的得1分，未提供的不得分。</w:t>
            </w:r>
          </w:p>
        </w:tc>
      </w:tr>
      <w:tr>
        <w:tc>
          <w:tcPr>
            <w:tcW w:type="dxa" w:w="3322"/>
          </w:tcPr>
          <w:p>
            <w:pPr>
              <w:pStyle w:val="null3"/>
              <w:jc w:val="left"/>
            </w:pPr>
            <w:r>
              <w:rPr>
                <w:b/>
              </w:rPr>
              <w:t>A5、施工方案</w:t>
            </w:r>
          </w:p>
        </w:tc>
        <w:tc>
          <w:tcPr>
            <w:tcW w:type="dxa" w:w="831"/>
          </w:tcPr>
          <w:p>
            <w:pPr>
              <w:pStyle w:val="null3"/>
              <w:jc w:val="right"/>
            </w:pPr>
            <w:r>
              <w:rPr>
                <w:b/>
              </w:rPr>
              <w:t>3.00</w:t>
            </w:r>
          </w:p>
        </w:tc>
        <w:tc>
          <w:tcPr>
            <w:tcW w:type="dxa" w:w="4153"/>
          </w:tcPr>
          <w:p>
            <w:pPr>
              <w:pStyle w:val="null3"/>
              <w:jc w:val="left"/>
            </w:pPr>
            <w:r>
              <w:rPr>
                <w:b/>
              </w:rPr>
              <w:t>根据供应商针对本项目提供的施工流程、施工顺序、主要施工方法和施工机械选择等方案，由磋商小组进行评议，方案完善、科学、合理的得3分，方案基本完善、科学性、合理性一般的得2分，方案基本可行但不详细的得1分，未提供的不得分。</w:t>
            </w:r>
          </w:p>
        </w:tc>
      </w:tr>
      <w:tr>
        <w:tc>
          <w:tcPr>
            <w:tcW w:type="dxa" w:w="3322"/>
          </w:tcPr>
          <w:p>
            <w:pPr>
              <w:pStyle w:val="null3"/>
              <w:jc w:val="left"/>
            </w:pPr>
            <w:r>
              <w:rPr>
                <w:b/>
              </w:rPr>
              <w:t>A6、文物构件的保护</w:t>
            </w:r>
          </w:p>
        </w:tc>
        <w:tc>
          <w:tcPr>
            <w:tcW w:type="dxa" w:w="831"/>
          </w:tcPr>
          <w:p>
            <w:pPr>
              <w:pStyle w:val="null3"/>
              <w:jc w:val="right"/>
            </w:pPr>
            <w:r>
              <w:rPr>
                <w:b/>
              </w:rPr>
              <w:t>3.00</w:t>
            </w:r>
          </w:p>
        </w:tc>
        <w:tc>
          <w:tcPr>
            <w:tcW w:type="dxa" w:w="4153"/>
          </w:tcPr>
          <w:p>
            <w:pPr>
              <w:pStyle w:val="null3"/>
              <w:jc w:val="left"/>
            </w:pPr>
            <w:r>
              <w:rPr>
                <w:b/>
              </w:rPr>
              <w:t>根据供应商针对本项目提供的对原文物构件的保护措施及方案，由磋商小组进行评议，保护方案合理、可行性好的得3分，保护方案合理、可行性一般的得2分，方案基本可行但不详细的得1分，未提供的不得分。</w:t>
            </w:r>
          </w:p>
        </w:tc>
      </w:tr>
      <w:tr>
        <w:tc>
          <w:tcPr>
            <w:tcW w:type="dxa" w:w="3322"/>
          </w:tcPr>
          <w:p>
            <w:pPr>
              <w:pStyle w:val="null3"/>
              <w:jc w:val="left"/>
            </w:pPr>
            <w:r>
              <w:rPr>
                <w:b/>
              </w:rPr>
              <w:t>A7、施工进度</w:t>
            </w:r>
          </w:p>
        </w:tc>
        <w:tc>
          <w:tcPr>
            <w:tcW w:type="dxa" w:w="831"/>
          </w:tcPr>
          <w:p>
            <w:pPr>
              <w:pStyle w:val="null3"/>
              <w:jc w:val="right"/>
            </w:pPr>
            <w:r>
              <w:rPr>
                <w:b/>
              </w:rPr>
              <w:t>3.00</w:t>
            </w:r>
          </w:p>
        </w:tc>
        <w:tc>
          <w:tcPr>
            <w:tcW w:type="dxa" w:w="4153"/>
          </w:tcPr>
          <w:p>
            <w:pPr>
              <w:pStyle w:val="null3"/>
              <w:jc w:val="left"/>
            </w:pPr>
            <w:r>
              <w:rPr>
                <w:b/>
              </w:rPr>
              <w:t>根据供应商针对本项目提供的施工进度计划，包括总进度计划和分项工程进度计划。施工进度表可采用横道图（或关键线路网络图）表示，由磋商小组进行评议，施工进度计划详细、施工进度表完整、可行的得3分，施工进度计划不够详细、施工进度表完整、可行性一般的得2分，施工进度计划不详细、施工进度表完整、可行性差的得1分，未提供的不得分。</w:t>
            </w:r>
          </w:p>
        </w:tc>
      </w:tr>
      <w:tr>
        <w:tc>
          <w:tcPr>
            <w:tcW w:type="dxa" w:w="3322"/>
          </w:tcPr>
          <w:p>
            <w:pPr>
              <w:pStyle w:val="null3"/>
              <w:jc w:val="left"/>
            </w:pPr>
            <w:r>
              <w:rPr>
                <w:b/>
              </w:rPr>
              <w:t>A8、供应计划</w:t>
            </w:r>
          </w:p>
        </w:tc>
        <w:tc>
          <w:tcPr>
            <w:tcW w:type="dxa" w:w="831"/>
          </w:tcPr>
          <w:p>
            <w:pPr>
              <w:pStyle w:val="null3"/>
              <w:jc w:val="right"/>
            </w:pPr>
            <w:r>
              <w:rPr>
                <w:b/>
              </w:rPr>
              <w:t>3.00</w:t>
            </w:r>
          </w:p>
        </w:tc>
        <w:tc>
          <w:tcPr>
            <w:tcW w:type="dxa" w:w="4153"/>
          </w:tcPr>
          <w:p>
            <w:pPr>
              <w:pStyle w:val="null3"/>
              <w:jc w:val="left"/>
            </w:pPr>
            <w:r>
              <w:rPr>
                <w:b/>
              </w:rPr>
              <w:t>根据供应商针对本项目提供的劳力需求计划、机械设备需求计划、主要材料和周转材料需求计划等，由磋商小组进行评议，供应计划周全、合理、科学的得3分，供应计划不够周全、合理、科学性一般的得2分，供应计划不够周全、合理、科学性差的得1分，未提供的不得分。</w:t>
            </w:r>
          </w:p>
        </w:tc>
      </w:tr>
      <w:tr>
        <w:tc>
          <w:tcPr>
            <w:tcW w:type="dxa" w:w="3322"/>
          </w:tcPr>
          <w:p>
            <w:pPr>
              <w:pStyle w:val="null3"/>
              <w:jc w:val="left"/>
            </w:pPr>
            <w:r>
              <w:rPr>
                <w:b/>
              </w:rPr>
              <w:t>A9、安全及文明施工</w:t>
            </w:r>
          </w:p>
        </w:tc>
        <w:tc>
          <w:tcPr>
            <w:tcW w:type="dxa" w:w="831"/>
          </w:tcPr>
          <w:p>
            <w:pPr>
              <w:pStyle w:val="null3"/>
              <w:jc w:val="right"/>
            </w:pPr>
            <w:r>
              <w:rPr>
                <w:b/>
              </w:rPr>
              <w:t>3.00</w:t>
            </w:r>
          </w:p>
        </w:tc>
        <w:tc>
          <w:tcPr>
            <w:tcW w:type="dxa" w:w="4153"/>
          </w:tcPr>
          <w:p>
            <w:pPr>
              <w:pStyle w:val="null3"/>
              <w:jc w:val="left"/>
            </w:pPr>
            <w:r>
              <w:rPr>
                <w:b/>
              </w:rPr>
              <w:t>根据供应商针对本项目提供的安全及文明施工组织措施，对确保安全生产、文明施工、工期的技术组织措施进行评议，重点评审技术组织措施是否得当、可靠。由磋商小组进行评议：措施得当、可靠的得3分，措施基本得当、可靠性一般的得2分，措施不得当、可靠性差的得1分，未提供的不得分。</w:t>
            </w:r>
          </w:p>
        </w:tc>
      </w:tr>
      <w:tr>
        <w:tc>
          <w:tcPr>
            <w:tcW w:type="dxa" w:w="3322"/>
          </w:tcPr>
          <w:p>
            <w:pPr>
              <w:pStyle w:val="null3"/>
              <w:jc w:val="left"/>
            </w:pPr>
            <w:r>
              <w:rPr>
                <w:b/>
              </w:rPr>
              <w:t>A10、质量、成本目标措施</w:t>
            </w:r>
          </w:p>
        </w:tc>
        <w:tc>
          <w:tcPr>
            <w:tcW w:type="dxa" w:w="831"/>
          </w:tcPr>
          <w:p>
            <w:pPr>
              <w:pStyle w:val="null3"/>
              <w:jc w:val="right"/>
            </w:pPr>
            <w:r>
              <w:rPr>
                <w:b/>
              </w:rPr>
              <w:t>3.00</w:t>
            </w:r>
          </w:p>
        </w:tc>
        <w:tc>
          <w:tcPr>
            <w:tcW w:type="dxa" w:w="4153"/>
          </w:tcPr>
          <w:p>
            <w:pPr>
              <w:pStyle w:val="null3"/>
              <w:jc w:val="left"/>
            </w:pPr>
            <w:r>
              <w:rPr>
                <w:b/>
              </w:rPr>
              <w:t>根据供应商针对本项目提供的保证质量目标、成本目标措施等，由磋商小组进行评议：措施完整、科学合理、可行性好的得3分，措施不够完整、科学合理性、可行性一般的得2分，措施基本可行但不完整的得1分，未提供的不得分。</w:t>
            </w:r>
          </w:p>
        </w:tc>
      </w:tr>
      <w:tr>
        <w:tc>
          <w:tcPr>
            <w:tcW w:type="dxa" w:w="3322"/>
          </w:tcPr>
          <w:p>
            <w:pPr>
              <w:pStyle w:val="null3"/>
              <w:jc w:val="left"/>
            </w:pPr>
            <w:r>
              <w:rPr>
                <w:b/>
              </w:rPr>
              <w:t>A11、应急突发问题响应</w:t>
            </w:r>
          </w:p>
        </w:tc>
        <w:tc>
          <w:tcPr>
            <w:tcW w:type="dxa" w:w="831"/>
          </w:tcPr>
          <w:p>
            <w:pPr>
              <w:pStyle w:val="null3"/>
              <w:jc w:val="right"/>
            </w:pPr>
            <w:r>
              <w:rPr>
                <w:b/>
              </w:rPr>
              <w:t>3.00</w:t>
            </w:r>
          </w:p>
        </w:tc>
        <w:tc>
          <w:tcPr>
            <w:tcW w:type="dxa" w:w="4153"/>
          </w:tcPr>
          <w:p>
            <w:pPr>
              <w:pStyle w:val="null3"/>
              <w:jc w:val="left"/>
            </w:pPr>
            <w:r>
              <w:rPr>
                <w:b/>
              </w:rPr>
              <w:t>根据供应商针对本项目制定的应急突发问题的响应时间及处理方案（包括台风暴雨、停水断电、设备故障的应对措施等），由磋商小组进行评审，方案合理、可行性好的得3分，方案不够合理、可行性一般的得2分，方案不合理、可行性差的得1分，未提供的不得分。</w:t>
            </w:r>
          </w:p>
        </w:tc>
      </w:tr>
      <w:tr>
        <w:tc>
          <w:tcPr>
            <w:tcW w:type="dxa" w:w="3322"/>
          </w:tcPr>
          <w:p>
            <w:pPr>
              <w:pStyle w:val="null3"/>
              <w:jc w:val="left"/>
            </w:pPr>
            <w:r>
              <w:rPr>
                <w:b/>
              </w:rPr>
              <w:t>A12、物资进场计划</w:t>
            </w:r>
          </w:p>
        </w:tc>
        <w:tc>
          <w:tcPr>
            <w:tcW w:type="dxa" w:w="831"/>
          </w:tcPr>
          <w:p>
            <w:pPr>
              <w:pStyle w:val="null3"/>
              <w:jc w:val="right"/>
            </w:pPr>
            <w:r>
              <w:rPr>
                <w:b/>
              </w:rPr>
              <w:t>3.00</w:t>
            </w:r>
          </w:p>
        </w:tc>
        <w:tc>
          <w:tcPr>
            <w:tcW w:type="dxa" w:w="4153"/>
          </w:tcPr>
          <w:p>
            <w:pPr>
              <w:pStyle w:val="null3"/>
              <w:jc w:val="left"/>
            </w:pPr>
            <w:r>
              <w:rPr>
                <w:b/>
              </w:rPr>
              <w:t>根据供应商针对本项目制定的主要物资（材料）进场安排计划是否合理、科学、可行的情况，由磋商小组进行评议：计划合理、可行性好的得3分，计划不够合理、可行性一般的得2分，计划不合理、可行性差的得1分，未提供的不得分。</w:t>
            </w:r>
          </w:p>
        </w:tc>
      </w:tr>
      <w:tr>
        <w:tc>
          <w:tcPr>
            <w:tcW w:type="dxa" w:w="3322"/>
          </w:tcPr>
          <w:p>
            <w:pPr>
              <w:pStyle w:val="null3"/>
              <w:jc w:val="left"/>
            </w:pPr>
            <w:r>
              <w:rPr>
                <w:b/>
              </w:rPr>
              <w:t>A13、材料选择</w:t>
            </w:r>
          </w:p>
        </w:tc>
        <w:tc>
          <w:tcPr>
            <w:tcW w:type="dxa" w:w="831"/>
          </w:tcPr>
          <w:p>
            <w:pPr>
              <w:pStyle w:val="null3"/>
              <w:jc w:val="right"/>
            </w:pPr>
            <w:r>
              <w:rPr>
                <w:b/>
              </w:rPr>
              <w:t>3.00</w:t>
            </w:r>
          </w:p>
        </w:tc>
        <w:tc>
          <w:tcPr>
            <w:tcW w:type="dxa" w:w="4153"/>
          </w:tcPr>
          <w:p>
            <w:pPr>
              <w:pStyle w:val="null3"/>
              <w:jc w:val="left"/>
            </w:pPr>
            <w:r>
              <w:rPr>
                <w:b/>
              </w:rPr>
              <w:t>根据供应商针对本项目拟使用的材料选择的合理性、适用性，以及材料的检测报告或质量标准说明的完整性等进行评价，选材合理性、适用性、质量良好满足本次项目修缮需求的3分；选材基本满足本次项目修缮需求的、质量良好得2分；选材基本满足本次项目修缮需求、适用性一般、质量一般得1分，未提供的不得分。</w:t>
            </w:r>
          </w:p>
        </w:tc>
      </w:tr>
    </w:tbl>
    <w:p>
      <w:pPr>
        <w:pStyle w:val="null3"/>
        <w:jc w:val="left"/>
      </w:pPr>
      <w:r>
        <w:rPr>
          <w:b/>
        </w:rPr>
        <w:t>商务部分评分PB 满分为12.00分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B1、服务承诺</w:t>
            </w:r>
          </w:p>
        </w:tc>
        <w:tc>
          <w:tcPr>
            <w:tcW w:type="dxa" w:w="831"/>
          </w:tcPr>
          <w:p>
            <w:pPr>
              <w:pStyle w:val="null3"/>
              <w:jc w:val="right"/>
            </w:pPr>
            <w:r>
              <w:rPr>
                <w:b/>
              </w:rPr>
              <w:t>3.00</w:t>
            </w:r>
          </w:p>
        </w:tc>
        <w:tc>
          <w:tcPr>
            <w:tcW w:type="dxa" w:w="4153"/>
          </w:tcPr>
          <w:p>
            <w:pPr>
              <w:pStyle w:val="null3"/>
              <w:jc w:val="left"/>
            </w:pPr>
            <w:r>
              <w:rPr>
                <w:b/>
              </w:rPr>
              <w:t>根据各供应商提供的服务承诺是否全面、清晰，是否对于重要技术问题和关键性技术问题能及时给予解决，是否能提供现场技术咨询服务等内容，由磋商小组进行评议：方案详实、可操作性强的得3分，方案部分详实或部分内容可操作性较强的得2分，方案阐述简短或无实质内容或方案可操作性不强的得1分，其他不得分。</w:t>
            </w:r>
          </w:p>
        </w:tc>
      </w:tr>
      <w:tr>
        <w:tc>
          <w:tcPr>
            <w:tcW w:type="dxa" w:w="3322"/>
          </w:tcPr>
          <w:p>
            <w:pPr>
              <w:pStyle w:val="null3"/>
              <w:jc w:val="left"/>
            </w:pPr>
            <w:r>
              <w:rPr>
                <w:b/>
              </w:rPr>
              <w:t>B2、项目经验</w:t>
            </w:r>
          </w:p>
        </w:tc>
        <w:tc>
          <w:tcPr>
            <w:tcW w:type="dxa" w:w="831"/>
          </w:tcPr>
          <w:p>
            <w:pPr>
              <w:pStyle w:val="null3"/>
              <w:jc w:val="right"/>
            </w:pPr>
            <w:r>
              <w:rPr>
                <w:b/>
              </w:rPr>
              <w:t>3.00</w:t>
            </w:r>
          </w:p>
        </w:tc>
        <w:tc>
          <w:tcPr>
            <w:tcW w:type="dxa" w:w="4153"/>
          </w:tcPr>
          <w:p>
            <w:pPr>
              <w:pStyle w:val="null3"/>
              <w:jc w:val="left"/>
            </w:pPr>
            <w:r>
              <w:rPr>
                <w:b/>
              </w:rPr>
              <w:t>评委会根据各供应商所提供的自2019年1月1日起至投标截止日由供应商参与的与本项目同类的修缮项目，属于省保（含）以上文物建筑的1处加1分，市保（及以下级别）1处加0.5分（所参与修缮工程需经文物部门验收合格，并提供相关证明材料），满分3分。供应商须提供该项目的采购合同或与业主单位签订正式合同协议书以及能够证明该项目已经相应级别的文物行政主管部门验收合格的相关证明文件复印件。评标过程未提供相关证明文件复印件或填报不实的不得分；合同履行过程发现本项有虚假者，取消其资格，并追究相应的法律责任和进行相应的索赔。</w:t>
            </w:r>
          </w:p>
        </w:tc>
      </w:tr>
      <w:tr>
        <w:tc>
          <w:tcPr>
            <w:tcW w:type="dxa" w:w="3322"/>
          </w:tcPr>
          <w:p>
            <w:pPr>
              <w:pStyle w:val="null3"/>
              <w:jc w:val="left"/>
            </w:pPr>
            <w:r>
              <w:rPr>
                <w:b/>
              </w:rPr>
              <w:t>B3、响应时间</w:t>
            </w:r>
          </w:p>
        </w:tc>
        <w:tc>
          <w:tcPr>
            <w:tcW w:type="dxa" w:w="831"/>
          </w:tcPr>
          <w:p>
            <w:pPr>
              <w:pStyle w:val="null3"/>
              <w:jc w:val="right"/>
            </w:pPr>
            <w:r>
              <w:rPr>
                <w:b/>
              </w:rPr>
              <w:t>3.00</w:t>
            </w:r>
          </w:p>
        </w:tc>
        <w:tc>
          <w:tcPr>
            <w:tcW w:type="dxa" w:w="4153"/>
          </w:tcPr>
          <w:p>
            <w:pPr>
              <w:pStyle w:val="null3"/>
              <w:jc w:val="left"/>
            </w:pPr>
            <w:r>
              <w:rPr>
                <w:b/>
              </w:rPr>
              <w:t>根据供应商提供的服务响应时间和内容进行评审，响应时间快速、服务内容全面的得3分；响应时间一般、服务内容较好的得2分；响应时间慢、服务内容一般的得1分；未提供的不得分。</w:t>
            </w:r>
          </w:p>
        </w:tc>
      </w:tr>
      <w:tr>
        <w:tc>
          <w:tcPr>
            <w:tcW w:type="dxa" w:w="3322"/>
          </w:tcPr>
          <w:p>
            <w:pPr>
              <w:pStyle w:val="null3"/>
              <w:jc w:val="left"/>
            </w:pPr>
            <w:r>
              <w:rPr>
                <w:b/>
              </w:rPr>
              <w:t>B4、人员专业配备</w:t>
            </w:r>
          </w:p>
        </w:tc>
        <w:tc>
          <w:tcPr>
            <w:tcW w:type="dxa" w:w="831"/>
          </w:tcPr>
          <w:p>
            <w:pPr>
              <w:pStyle w:val="null3"/>
              <w:jc w:val="right"/>
            </w:pPr>
            <w:r>
              <w:rPr>
                <w:b/>
              </w:rPr>
              <w:t>3.00</w:t>
            </w:r>
          </w:p>
        </w:tc>
        <w:tc>
          <w:tcPr>
            <w:tcW w:type="dxa" w:w="4153"/>
          </w:tcPr>
          <w:p>
            <w:pPr>
              <w:pStyle w:val="null3"/>
              <w:jc w:val="left"/>
            </w:pPr>
            <w:r>
              <w:rPr>
                <w:b/>
              </w:rPr>
              <w:t>供应商针对本项目拟派的木作、泥水作、石作及泥塑作班组主要负责人（可为同一工种）需持有市级（含）以上文物主管部门的工匠岗位培训证书，在满足磋商文件要求人数的基础上,每多提供一名得1分，满分3分。（须同时提供人员名单、工匠岗位培训证书复印件及配备人员劳动合同复印件）</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供应商的技术部分实际得分少于磋商文件设定的技术部分总分50%的，其响应无效。</w:t>
            </w:r>
          </w:p>
        </w:tc>
      </w:tr>
      <w:tr>
        <w:tc>
          <w:tcPr>
            <w:tcW w:type="dxa" w:w="4153"/>
          </w:tcPr>
          <w:p>
            <w:pPr>
              <w:pStyle w:val="null3"/>
              <w:jc w:val="left"/>
            </w:pPr>
            <w:r>
              <w:rPr/>
              <w:t>其他情形</w:t>
            </w:r>
          </w:p>
        </w:tc>
        <w:tc>
          <w:tcPr>
            <w:tcW w:type="dxa" w:w="4153"/>
          </w:tcPr>
          <w:p>
            <w:pPr>
              <w:pStyle w:val="null3"/>
              <w:jc w:val="left"/>
            </w:pPr>
            <w:r>
              <w:rPr/>
              <w:t>不符合磋商文件中规定的其它实质性要求的条款，其响应无效。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供应商的响应文件不满足磋商文件“第三章 商务条件”中的任何一项要求的，其响应无效。</w:t>
            </w:r>
          </w:p>
        </w:tc>
      </w:tr>
      <w:tr>
        <w:tc>
          <w:tcPr>
            <w:tcW w:type="dxa" w:w="4153"/>
          </w:tcPr>
          <w:p>
            <w:pPr>
              <w:pStyle w:val="null3"/>
              <w:jc w:val="left"/>
            </w:pPr>
            <w:r>
              <w:rPr/>
              <w:t>其他情形</w:t>
            </w:r>
          </w:p>
        </w:tc>
        <w:tc>
          <w:tcPr>
            <w:tcW w:type="dxa" w:w="4153"/>
          </w:tcPr>
          <w:p>
            <w:pPr>
              <w:pStyle w:val="null3"/>
              <w:jc w:val="left"/>
            </w:pPr>
            <w:r>
              <w:rPr/>
              <w:t>不符合磋商文件中规定的其它实质性要求的条款，其响应无效。</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left"/>
      </w:pPr>
      <w:r>
        <w:rPr/>
        <w:t>24.4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ind w:firstLine="482"/>
        <w:jc w:val="both"/>
      </w:pPr>
      <w:r>
        <w:rPr>
          <w:rFonts w:ascii="宋体" w:hAnsi="宋体" w:cs="宋体" w:eastAsia="宋体"/>
          <w:sz w:val="24"/>
        </w:rPr>
        <w:t>元帅庙为鼓楼区不可移动文物，</w:t>
      </w:r>
      <w:r>
        <w:rPr>
          <w:rFonts w:ascii="宋体" w:hAnsi="宋体" w:cs="宋体" w:eastAsia="宋体"/>
          <w:sz w:val="24"/>
        </w:rPr>
        <w:t>也是省级非物质文化遗产</w:t>
      </w:r>
      <w:r>
        <w:rPr>
          <w:rFonts w:ascii="宋体" w:hAnsi="宋体" w:cs="宋体" w:eastAsia="宋体"/>
          <w:sz w:val="24"/>
        </w:rPr>
        <w:t>“田公元帅信俗”载体，同时该庙也是台湾等地田公元帅庙的祖殿，是闽台两岸文化交流重要场所，两地民间信仰交流活动频繁。</w:t>
      </w:r>
      <w:r>
        <w:rPr>
          <w:rFonts w:ascii="宋体" w:hAnsi="宋体" w:cs="宋体" w:eastAsia="宋体"/>
          <w:sz w:val="24"/>
        </w:rPr>
        <w:t>因年久失修，元帅庙破损严重，影响文物安全。</w:t>
      </w:r>
      <w:r>
        <w:rPr>
          <w:rFonts w:ascii="宋体" w:hAnsi="宋体" w:cs="宋体" w:eastAsia="宋体"/>
          <w:sz w:val="24"/>
        </w:rPr>
        <w:t>本次修缮工程旨在解决元帅庙各类安全隐患，确保文物安全。</w:t>
      </w:r>
    </w:p>
    <w:p>
      <w:pPr>
        <w:pStyle w:val="null3"/>
        <w:jc w:val="left"/>
        <w:outlineLvl w:val="2"/>
      </w:pPr>
      <w:r>
        <w:rPr>
          <w:b/>
          <w:sz w:val="28"/>
        </w:rPr>
        <w:t>二、技术要求</w:t>
      </w:r>
    </w:p>
    <w:p>
      <w:pPr>
        <w:pStyle w:val="null3"/>
        <w:jc w:val="left"/>
      </w:pPr>
    </w:p>
    <w:p>
      <w:pPr>
        <w:pStyle w:val="null3"/>
        <w:jc w:val="left"/>
      </w:pPr>
    </w:p>
    <w:p>
      <w:pPr>
        <w:pStyle w:val="null3"/>
        <w:ind w:firstLine="480"/>
        <w:jc w:val="left"/>
      </w:pPr>
      <w:r>
        <w:rPr>
          <w:rFonts w:ascii="宋体" w:hAnsi="宋体" w:cs="宋体" w:eastAsia="宋体"/>
          <w:sz w:val="24"/>
        </w:rPr>
        <w:t>（一）技术服务要求</w:t>
      </w:r>
    </w:p>
    <w:p>
      <w:pPr>
        <w:pStyle w:val="null3"/>
        <w:ind w:firstLine="480"/>
        <w:jc w:val="left"/>
      </w:pPr>
      <w:r>
        <w:rPr>
          <w:rFonts w:ascii="宋体" w:hAnsi="宋体" w:cs="宋体" w:eastAsia="宋体"/>
          <w:sz w:val="24"/>
        </w:rPr>
        <w:t>1、法律依据</w:t>
      </w:r>
    </w:p>
    <w:p>
      <w:pPr>
        <w:pStyle w:val="null3"/>
        <w:ind w:firstLine="480"/>
        <w:jc w:val="left"/>
      </w:pPr>
      <w:r>
        <w:rPr>
          <w:rFonts w:ascii="宋体" w:hAnsi="宋体" w:cs="宋体" w:eastAsia="宋体"/>
          <w:sz w:val="24"/>
        </w:rPr>
        <w:t>《中华人民共和国文物保护法》《中华人民共和国文物保护法实施条例》《文物保护工程管理办法》《福建省文物保护管理条例》。（项号</w:t>
      </w:r>
      <w:r>
        <w:rPr>
          <w:rFonts w:ascii="宋体" w:hAnsi="宋体" w:cs="宋体" w:eastAsia="宋体"/>
          <w:sz w:val="24"/>
        </w:rPr>
        <w:t>1）</w:t>
      </w:r>
    </w:p>
    <w:p>
      <w:pPr>
        <w:pStyle w:val="null3"/>
        <w:ind w:firstLine="480"/>
        <w:jc w:val="left"/>
      </w:pPr>
      <w:r>
        <w:rPr>
          <w:rFonts w:ascii="宋体" w:hAnsi="宋体" w:cs="宋体" w:eastAsia="宋体"/>
          <w:sz w:val="24"/>
        </w:rPr>
        <w:t>2、修缮目的</w:t>
      </w:r>
    </w:p>
    <w:p>
      <w:pPr>
        <w:pStyle w:val="null3"/>
        <w:ind w:firstLine="480"/>
        <w:jc w:val="left"/>
      </w:pPr>
      <w:r>
        <w:rPr>
          <w:rFonts w:ascii="宋体" w:hAnsi="宋体" w:cs="宋体" w:eastAsia="宋体"/>
          <w:sz w:val="24"/>
        </w:rPr>
        <w:t>在充分掌握文物现状的情况及不改变文物原状的原则下，对元帅庙进行修缮，以期真实、完整保存并延续元帅庙的历史信息及全部价值，保护好历史文化遗产。（项号</w:t>
      </w:r>
      <w:r>
        <w:rPr>
          <w:rFonts w:ascii="宋体" w:hAnsi="宋体" w:cs="宋体" w:eastAsia="宋体"/>
          <w:sz w:val="24"/>
        </w:rPr>
        <w:t>2）</w:t>
      </w:r>
    </w:p>
    <w:p>
      <w:pPr>
        <w:pStyle w:val="null3"/>
        <w:ind w:firstLine="480"/>
        <w:jc w:val="left"/>
      </w:pPr>
      <w:r>
        <w:rPr>
          <w:rFonts w:ascii="宋体" w:hAnsi="宋体" w:cs="宋体" w:eastAsia="宋体"/>
          <w:sz w:val="24"/>
        </w:rPr>
        <w:t>3、修缮要求</w:t>
      </w:r>
    </w:p>
    <w:p>
      <w:pPr>
        <w:pStyle w:val="null3"/>
        <w:ind w:firstLine="480"/>
        <w:jc w:val="left"/>
      </w:pPr>
      <w:r>
        <w:rPr>
          <w:rFonts w:ascii="宋体" w:hAnsi="宋体" w:cs="宋体" w:eastAsia="宋体"/>
          <w:sz w:val="24"/>
        </w:rPr>
        <w:t>（</w:t>
      </w:r>
      <w:r>
        <w:rPr>
          <w:rFonts w:ascii="宋体" w:hAnsi="宋体" w:cs="宋体" w:eastAsia="宋体"/>
          <w:sz w:val="24"/>
        </w:rPr>
        <w:t>1）对于必须保存现状的对象，主要使用日常保养和环境治理的手段，局部可使用防护加固和原状整修手段，但应尽可能减少干预，所采用的保护措施应以延续现状、缓解损伤和维持结构稳定为主要目标，不能对其造成新的损伤。（项号3）</w:t>
      </w:r>
    </w:p>
    <w:p>
      <w:pPr>
        <w:pStyle w:val="null3"/>
        <w:ind w:firstLine="480"/>
        <w:jc w:val="left"/>
      </w:pPr>
      <w:r>
        <w:rPr>
          <w:rFonts w:ascii="宋体" w:hAnsi="宋体" w:cs="宋体" w:eastAsia="宋体"/>
          <w:sz w:val="24"/>
        </w:rPr>
        <w:t>（</w:t>
      </w:r>
      <w:r>
        <w:rPr>
          <w:rFonts w:ascii="宋体" w:hAnsi="宋体" w:cs="宋体" w:eastAsia="宋体"/>
          <w:sz w:val="24"/>
        </w:rPr>
        <w:t>2）对于可以恢复原状的对象，现存残损采取重点修复手段，部分已失去的原状可以实施适当修复。必须严肃对待现状中保留的历史信息，必须掌握充分实物依据，必须保留和体现文物建筑的形制、结构、材料和工艺技术的地域特征、时代风格和独特个性。（项号4）</w:t>
      </w:r>
    </w:p>
    <w:p>
      <w:pPr>
        <w:pStyle w:val="null3"/>
        <w:ind w:firstLine="480"/>
        <w:jc w:val="left"/>
      </w:pPr>
      <w:r>
        <w:rPr>
          <w:rFonts w:ascii="宋体" w:hAnsi="宋体" w:cs="宋体" w:eastAsia="宋体"/>
          <w:sz w:val="24"/>
        </w:rPr>
        <w:t>（</w:t>
      </w:r>
      <w:r>
        <w:rPr>
          <w:rFonts w:ascii="宋体" w:hAnsi="宋体" w:cs="宋体" w:eastAsia="宋体"/>
          <w:sz w:val="24"/>
        </w:rPr>
        <w:t>3）成交供应商在施工中要进一步鉴别文物各种残损情况，并将新发现的隐性损坏及时报告建设单位和设计单位，以期分析其损坏原因及对文物造成的危害后，采取符合实际、恰当的修缮手段。（项号5）</w:t>
      </w:r>
    </w:p>
    <w:p>
      <w:pPr>
        <w:pStyle w:val="null3"/>
        <w:ind w:firstLine="480"/>
        <w:jc w:val="left"/>
      </w:pPr>
      <w:r>
        <w:rPr>
          <w:rFonts w:ascii="宋体" w:hAnsi="宋体" w:cs="宋体" w:eastAsia="宋体"/>
          <w:sz w:val="24"/>
        </w:rPr>
        <w:t>(4)作业过程要做到文明作业，不得从架子上掉落工具、物品；同时必须保证自身安全，高空作业需穿防滑鞋，佩戴安全帽、安全带。（项号6）</w:t>
      </w:r>
    </w:p>
    <w:p>
      <w:pPr>
        <w:pStyle w:val="null3"/>
        <w:ind w:firstLine="480"/>
        <w:jc w:val="left"/>
      </w:pPr>
      <w:r>
        <w:rPr>
          <w:rFonts w:ascii="宋体" w:hAnsi="宋体" w:cs="宋体" w:eastAsia="宋体"/>
          <w:sz w:val="24"/>
        </w:rPr>
        <w:t>(5)各工种作业人员,应注意自身安全，不得随意向下、向外抛、掉物品，不得随意拆除安全防护装置。（项号7）</w:t>
      </w:r>
    </w:p>
    <w:p>
      <w:pPr>
        <w:pStyle w:val="null3"/>
        <w:ind w:firstLine="480"/>
        <w:jc w:val="left"/>
      </w:pPr>
      <w:r>
        <w:rPr>
          <w:rFonts w:ascii="宋体" w:hAnsi="宋体" w:cs="宋体" w:eastAsia="宋体"/>
          <w:sz w:val="24"/>
        </w:rPr>
        <w:t>(6)雨、雪、雾及六级以上大风等天气，严禁进行工作。成交供应商应设专职人员负责对设施设备进行经常检查和维护。发现问题和隐患，在施工作业前及时维修加固，以达到坚固稳定，确保施工安全。（项号8）</w:t>
      </w:r>
    </w:p>
    <w:p>
      <w:pPr>
        <w:pStyle w:val="null3"/>
        <w:ind w:firstLine="480"/>
        <w:jc w:val="left"/>
      </w:pPr>
      <w:r>
        <w:rPr>
          <w:rFonts w:ascii="宋体" w:hAnsi="宋体" w:cs="宋体" w:eastAsia="宋体"/>
          <w:sz w:val="24"/>
        </w:rPr>
        <w:t>(7)作业期间，地面应设置围栏和警戒标志，严禁非操作人员入内。（项号9）</w:t>
      </w:r>
    </w:p>
    <w:p>
      <w:pPr>
        <w:pStyle w:val="null3"/>
        <w:ind w:firstLine="480"/>
        <w:jc w:val="left"/>
      </w:pPr>
      <w:r>
        <w:rPr>
          <w:rFonts w:ascii="宋体" w:hAnsi="宋体" w:cs="宋体" w:eastAsia="宋体"/>
          <w:sz w:val="24"/>
        </w:rPr>
        <w:t>4、 施工原则及要求</w:t>
      </w:r>
    </w:p>
    <w:p>
      <w:pPr>
        <w:pStyle w:val="null3"/>
        <w:ind w:firstLine="480"/>
        <w:jc w:val="left"/>
      </w:pPr>
      <w:r>
        <w:rPr>
          <w:rFonts w:ascii="宋体" w:hAnsi="宋体" w:cs="宋体" w:eastAsia="宋体"/>
          <w:sz w:val="24"/>
        </w:rPr>
        <w:t>（</w:t>
      </w:r>
      <w:r>
        <w:rPr>
          <w:rFonts w:ascii="宋体" w:hAnsi="宋体" w:cs="宋体" w:eastAsia="宋体"/>
          <w:sz w:val="24"/>
        </w:rPr>
        <w:t>1）安全第一的原则</w:t>
      </w:r>
    </w:p>
    <w:p>
      <w:pPr>
        <w:pStyle w:val="null3"/>
        <w:ind w:firstLine="480"/>
        <w:jc w:val="left"/>
      </w:pPr>
      <w:r>
        <w:rPr>
          <w:rFonts w:ascii="宋体" w:hAnsi="宋体" w:cs="宋体" w:eastAsia="宋体"/>
          <w:sz w:val="24"/>
        </w:rPr>
        <w:t>安全第一是修缮工程的保障，文物的安全与人员的安全同等重要，施工中应设置防火、防雨设备，设置完善的安全设施，并对施工人员及周围群众作好安全宣传、教育工作，确保人员及文物的安全。（项号</w:t>
      </w:r>
      <w:r>
        <w:rPr>
          <w:rFonts w:ascii="宋体" w:hAnsi="宋体" w:cs="宋体" w:eastAsia="宋体"/>
          <w:sz w:val="24"/>
        </w:rPr>
        <w:t>10）</w:t>
      </w:r>
    </w:p>
    <w:p>
      <w:pPr>
        <w:pStyle w:val="null3"/>
        <w:ind w:firstLine="480"/>
        <w:jc w:val="left"/>
      </w:pPr>
      <w:r>
        <w:rPr>
          <w:rFonts w:ascii="宋体" w:hAnsi="宋体" w:cs="宋体" w:eastAsia="宋体"/>
          <w:sz w:val="24"/>
        </w:rPr>
        <w:t>（</w:t>
      </w:r>
      <w:r>
        <w:rPr>
          <w:rFonts w:ascii="宋体" w:hAnsi="宋体" w:cs="宋体" w:eastAsia="宋体"/>
          <w:sz w:val="24"/>
        </w:rPr>
        <w:t>2）保障质量的原则</w:t>
      </w:r>
    </w:p>
    <w:p>
      <w:pPr>
        <w:pStyle w:val="null3"/>
        <w:ind w:firstLine="480"/>
        <w:jc w:val="left"/>
      </w:pPr>
      <w:r>
        <w:rPr>
          <w:rFonts w:ascii="宋体" w:hAnsi="宋体" w:cs="宋体" w:eastAsia="宋体"/>
          <w:sz w:val="24"/>
        </w:rPr>
        <w:t>成交供应商应严格按照设计文件和各相关规范施工。现场监理人员应及时对隐蔽工程进行验收和档案记录。出现新情况无法确定时，应通知设计单位会同建设单位共同研究，确定处理方案。材料的采购，按照部标或国标选择优质产品。修缮工艺，施工工序要符合国家古建筑修缮有关质量标准与法规。（项号</w:t>
      </w:r>
      <w:r>
        <w:rPr>
          <w:rFonts w:ascii="宋体" w:hAnsi="宋体" w:cs="宋体" w:eastAsia="宋体"/>
          <w:sz w:val="24"/>
        </w:rPr>
        <w:t>11）</w:t>
      </w:r>
    </w:p>
    <w:p>
      <w:pPr>
        <w:pStyle w:val="null3"/>
        <w:ind w:firstLine="480"/>
        <w:jc w:val="left"/>
      </w:pPr>
      <w:r>
        <w:rPr>
          <w:rFonts w:ascii="宋体" w:hAnsi="宋体" w:cs="宋体" w:eastAsia="宋体"/>
          <w:sz w:val="24"/>
        </w:rPr>
        <w:t>（</w:t>
      </w:r>
      <w:r>
        <w:rPr>
          <w:rFonts w:ascii="宋体" w:hAnsi="宋体" w:cs="宋体" w:eastAsia="宋体"/>
          <w:sz w:val="24"/>
        </w:rPr>
        <w:t>3）可逆性、可再处理的原则</w:t>
      </w:r>
    </w:p>
    <w:p>
      <w:pPr>
        <w:pStyle w:val="null3"/>
        <w:ind w:firstLine="480"/>
        <w:jc w:val="left"/>
      </w:pPr>
      <w:r>
        <w:rPr>
          <w:rFonts w:ascii="宋体" w:hAnsi="宋体" w:cs="宋体" w:eastAsia="宋体"/>
          <w:sz w:val="24"/>
        </w:rPr>
        <w:t>修缮过程中，坚持可逆性，保证修复后的可再处理性。修缮过程中应尽量保存原构件，新换构件应尽量选择使用与原构件相同、相近或兼容的材料，使用原有工艺技法，保持最多的历史信息。为后人的研究、识别，留有更多的空间。（项号</w:t>
      </w:r>
      <w:r>
        <w:rPr>
          <w:rFonts w:ascii="宋体" w:hAnsi="宋体" w:cs="宋体" w:eastAsia="宋体"/>
          <w:sz w:val="24"/>
        </w:rPr>
        <w:t>12）</w:t>
      </w:r>
    </w:p>
    <w:p>
      <w:pPr>
        <w:pStyle w:val="null3"/>
        <w:ind w:firstLine="480"/>
        <w:jc w:val="left"/>
      </w:pPr>
      <w:r>
        <w:rPr>
          <w:rFonts w:ascii="宋体" w:hAnsi="宋体" w:cs="宋体" w:eastAsia="宋体"/>
          <w:sz w:val="24"/>
        </w:rPr>
        <w:t>（</w:t>
      </w:r>
      <w:r>
        <w:rPr>
          <w:rFonts w:ascii="宋体" w:hAnsi="宋体" w:cs="宋体" w:eastAsia="宋体"/>
          <w:sz w:val="24"/>
        </w:rPr>
        <w:t>4）尊重传统、保持地方风格的原则</w:t>
      </w:r>
    </w:p>
    <w:p>
      <w:pPr>
        <w:pStyle w:val="null3"/>
        <w:ind w:firstLine="480"/>
        <w:jc w:val="left"/>
      </w:pPr>
      <w:r>
        <w:rPr>
          <w:rFonts w:ascii="宋体" w:hAnsi="宋体" w:cs="宋体" w:eastAsia="宋体"/>
          <w:sz w:val="24"/>
        </w:rPr>
        <w:t>地方建筑风格与传统工艺手法，对于研究各地区建筑史和各地区传统建筑工艺具有极高价值。在修缮过程中应加以识别，尊重传统。保持地方建筑风格的多样性、传统工艺手法的地域性和营造手法的独特性。（项号</w:t>
      </w:r>
      <w:r>
        <w:rPr>
          <w:rFonts w:ascii="宋体" w:hAnsi="宋体" w:cs="宋体" w:eastAsia="宋体"/>
          <w:sz w:val="24"/>
        </w:rPr>
        <w:t>13）</w:t>
      </w:r>
    </w:p>
    <w:p>
      <w:pPr>
        <w:pStyle w:val="null3"/>
        <w:ind w:firstLine="480"/>
        <w:jc w:val="left"/>
      </w:pPr>
      <w:r>
        <w:rPr>
          <w:rFonts w:ascii="宋体" w:hAnsi="宋体" w:cs="宋体" w:eastAsia="宋体"/>
          <w:sz w:val="24"/>
        </w:rPr>
        <w:t>（</w:t>
      </w:r>
      <w:r>
        <w:rPr>
          <w:rFonts w:ascii="宋体" w:hAnsi="宋体" w:cs="宋体" w:eastAsia="宋体"/>
          <w:sz w:val="24"/>
        </w:rPr>
        <w:t>5）资料收集</w:t>
      </w:r>
    </w:p>
    <w:p>
      <w:pPr>
        <w:pStyle w:val="null3"/>
        <w:ind w:firstLine="480"/>
        <w:jc w:val="left"/>
      </w:pPr>
      <w:r>
        <w:rPr>
          <w:rFonts w:ascii="宋体" w:hAnsi="宋体" w:cs="宋体" w:eastAsia="宋体"/>
          <w:sz w:val="24"/>
        </w:rPr>
        <w:t>拆除施工中对各重要隐蔽部位及其节点应拍照存档，以备修复施工中对照。施工过程中须注重记录、收集资料，竣工后施工单位应提交完整的竣工档案资料，并归档保存。（项号</w:t>
      </w:r>
      <w:r>
        <w:rPr>
          <w:rFonts w:ascii="宋体" w:hAnsi="宋体" w:cs="宋体" w:eastAsia="宋体"/>
          <w:sz w:val="24"/>
        </w:rPr>
        <w:t>14）</w:t>
      </w:r>
    </w:p>
    <w:p>
      <w:pPr>
        <w:pStyle w:val="null3"/>
        <w:ind w:firstLine="480"/>
        <w:jc w:val="left"/>
      </w:pPr>
      <w:r>
        <w:rPr>
          <w:rFonts w:ascii="宋体" w:hAnsi="宋体" w:cs="宋体" w:eastAsia="宋体"/>
          <w:sz w:val="24"/>
        </w:rPr>
        <w:t>（</w:t>
      </w:r>
      <w:r>
        <w:rPr>
          <w:rFonts w:ascii="宋体" w:hAnsi="宋体" w:cs="宋体" w:eastAsia="宋体"/>
          <w:sz w:val="24"/>
        </w:rPr>
        <w:t>6）项目开工前，应组织项目图纸会审，对修复工程的设计方案进行技术交底。（项号15）</w:t>
      </w:r>
    </w:p>
    <w:p>
      <w:pPr>
        <w:pStyle w:val="null3"/>
        <w:ind w:firstLine="480"/>
        <w:jc w:val="left"/>
      </w:pPr>
      <w:r>
        <w:rPr>
          <w:rFonts w:ascii="宋体" w:hAnsi="宋体" w:cs="宋体" w:eastAsia="宋体"/>
          <w:sz w:val="24"/>
        </w:rPr>
        <w:t>（</w:t>
      </w:r>
      <w:r>
        <w:rPr>
          <w:rFonts w:ascii="宋体" w:hAnsi="宋体" w:cs="宋体" w:eastAsia="宋体"/>
          <w:sz w:val="24"/>
        </w:rPr>
        <w:t>7）施工中的未尽事宜，应与设计单位及时沟通，征得同意后方可实施。（项号16）</w:t>
      </w:r>
    </w:p>
    <w:p>
      <w:pPr>
        <w:pStyle w:val="null3"/>
        <w:ind w:firstLine="480"/>
        <w:jc w:val="left"/>
      </w:pPr>
      <w:r>
        <w:rPr>
          <w:rFonts w:ascii="宋体" w:hAnsi="宋体" w:cs="宋体" w:eastAsia="宋体"/>
          <w:sz w:val="24"/>
        </w:rPr>
        <w:t>5、施工符合符合文物（古建筑）修缮工程技术规范。（项号17）</w:t>
      </w:r>
    </w:p>
    <w:p>
      <w:pPr>
        <w:pStyle w:val="null3"/>
        <w:ind w:firstLine="480"/>
        <w:jc w:val="left"/>
      </w:pPr>
      <w:r>
        <w:rPr>
          <w:rFonts w:ascii="宋体" w:hAnsi="宋体" w:cs="宋体" w:eastAsia="宋体"/>
          <w:sz w:val="24"/>
        </w:rPr>
        <w:t>6、工程需达到国家现行施工验收规范合格验收标准及文物保护质量验收标准，并经文物部门及文物专家组验收合格。（项号18）</w:t>
      </w:r>
    </w:p>
    <w:p>
      <w:pPr>
        <w:pStyle w:val="null3"/>
        <w:ind w:firstLine="480"/>
        <w:jc w:val="left"/>
      </w:pPr>
      <w:r>
        <w:rPr>
          <w:rFonts w:ascii="宋体" w:hAnsi="宋体" w:cs="宋体" w:eastAsia="宋体"/>
          <w:sz w:val="24"/>
        </w:rPr>
        <w:t>7、参加磋商的供应商应具备负责本项目木作、泥水作、石作及泥塑作班组主要负责人（可为同一工种）叁名（须持有市级（含）以上文物部门主办的工匠岗位培训证书）。（项号19）</w:t>
      </w:r>
    </w:p>
    <w:p>
      <w:pPr>
        <w:pStyle w:val="null3"/>
        <w:ind w:firstLine="480"/>
        <w:jc w:val="left"/>
      </w:pPr>
      <w:r>
        <w:rPr>
          <w:rFonts w:ascii="宋体" w:hAnsi="宋体" w:cs="宋体" w:eastAsia="宋体"/>
          <w:sz w:val="24"/>
        </w:rPr>
        <w:t>8、供应商拟担任本招标项目的项目负责人须具备全国性文物保护协会颁发的文物保护工程责任工程师证书或省级（含）以上文物行政主管部门颁发有效的</w:t>
      </w:r>
      <w:r>
        <w:rPr>
          <w:rFonts w:ascii="宋体" w:hAnsi="宋体" w:cs="宋体" w:eastAsia="宋体"/>
          <w:sz w:val="24"/>
        </w:rPr>
        <w:t>文物保护工程岗位培训证书，且为本单位在职员工。</w:t>
      </w:r>
      <w:r>
        <w:rPr>
          <w:rFonts w:ascii="宋体" w:hAnsi="宋体" w:cs="宋体" w:eastAsia="宋体"/>
          <w:sz w:val="24"/>
        </w:rPr>
        <w:t>（项号</w:t>
      </w:r>
      <w:r>
        <w:rPr>
          <w:rFonts w:ascii="宋体" w:hAnsi="宋体" w:cs="宋体" w:eastAsia="宋体"/>
          <w:sz w:val="24"/>
        </w:rPr>
        <w:t>20）</w:t>
      </w:r>
    </w:p>
    <w:p>
      <w:pPr>
        <w:pStyle w:val="null3"/>
        <w:ind w:firstLine="480"/>
        <w:jc w:val="left"/>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其他</w:t>
      </w:r>
      <w:r>
        <w:rPr>
          <w:rFonts w:ascii="宋体" w:hAnsi="宋体" w:cs="宋体" w:eastAsia="宋体"/>
          <w:sz w:val="24"/>
        </w:rPr>
        <w:t>要求</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供应商拟担任本招标项目的项目负责人（即项目经理，下同）须具备有效的中国古迹遗址保护协会签发的文物保护工程责任工程师证书或省级（含）以上文物行政主管部门颁发有效的文物保护工程施工岗位培训证书</w:t>
      </w:r>
      <w:r>
        <w:rPr>
          <w:rFonts w:ascii="宋体" w:hAnsi="宋体" w:cs="宋体" w:eastAsia="宋体"/>
          <w:sz w:val="24"/>
        </w:rPr>
        <w:t>，</w:t>
      </w:r>
      <w:r>
        <w:rPr>
          <w:rFonts w:ascii="宋体" w:hAnsi="宋体" w:cs="宋体" w:eastAsia="宋体"/>
          <w:sz w:val="24"/>
        </w:rPr>
        <w:t>且为本单位在职员工。</w:t>
      </w:r>
      <w:r>
        <w:rPr>
          <w:rFonts w:ascii="宋体" w:hAnsi="宋体" w:cs="宋体" w:eastAsia="宋体"/>
          <w:sz w:val="24"/>
        </w:rPr>
        <w:t>(2)投标时，供应商和拟派本工程项目管理班子成员没有因违法违规被有关行政监督部门取消或限制本招标项目的投标</w:t>
      </w:r>
      <w:r>
        <w:rPr>
          <w:rFonts w:ascii="宋体" w:hAnsi="宋体" w:cs="宋体" w:eastAsia="宋体"/>
          <w:sz w:val="24"/>
        </w:rPr>
        <w:t>，</w:t>
      </w:r>
      <w:r>
        <w:rPr>
          <w:rFonts w:ascii="宋体" w:hAnsi="宋体" w:cs="宋体" w:eastAsia="宋体"/>
          <w:sz w:val="24"/>
        </w:rPr>
        <w:t>否则按否决投标处理。</w:t>
      </w:r>
      <w:r>
        <w:rPr>
          <w:rFonts w:ascii="宋体" w:hAnsi="宋体" w:cs="宋体" w:eastAsia="宋体"/>
          <w:sz w:val="24"/>
        </w:rPr>
        <w:t>(3)投标截止时间前12个月内被文物行政部门通报记录在案的不得参加投标，或两年内被文物行政部门通报记录在2次（含）以上的，不得参加投标。</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交货地点</w:t>
            </w:r>
          </w:p>
        </w:tc>
        <w:tc>
          <w:tcPr>
            <w:tcW w:type="dxa" w:w="2076"/>
          </w:tcPr>
          <w:p>
            <w:pPr>
              <w:pStyle w:val="null3"/>
              <w:jc w:val="left"/>
            </w:pPr>
            <w:r>
              <w:rPr/>
              <w:t>福建省福州市鼓楼区元帅路</w:t>
            </w:r>
          </w:p>
        </w:tc>
      </w:tr>
      <w:tr>
        <w:tc>
          <w:tcPr>
            <w:tcW w:type="dxa" w:w="2076"/>
          </w:tcPr>
          <w:p>
            <w:pPr>
              <w:pStyle w:val="null3"/>
              <w:jc w:val="left"/>
            </w:pPr>
            <w:r>
              <w:rPr/>
              <w:t>2</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自合同签订之日起90日</w:t>
            </w:r>
          </w:p>
        </w:tc>
      </w:tr>
      <w:tr>
        <w:tc>
          <w:tcPr>
            <w:tcW w:type="dxa" w:w="2076"/>
          </w:tcPr>
          <w:p>
            <w:pPr>
              <w:pStyle w:val="null3"/>
              <w:jc w:val="left"/>
            </w:pPr>
            <w:r>
              <w:rPr/>
              <w:t>3</w:t>
            </w:r>
          </w:p>
        </w:tc>
        <w:tc>
          <w:tcPr>
            <w:tcW w:type="dxa" w:w="2076"/>
          </w:tcPr>
          <w:p/>
        </w:tc>
        <w:tc>
          <w:tcPr>
            <w:tcW w:type="dxa" w:w="2076"/>
          </w:tcPr>
          <w:p>
            <w:pPr>
              <w:pStyle w:val="null3"/>
              <w:jc w:val="left"/>
            </w:pPr>
            <w:r>
              <w:rPr/>
              <w:t>交货条件</w:t>
            </w:r>
          </w:p>
        </w:tc>
        <w:tc>
          <w:tcPr>
            <w:tcW w:type="dxa" w:w="2076"/>
          </w:tcPr>
          <w:p>
            <w:pPr>
              <w:pStyle w:val="null3"/>
              <w:jc w:val="left"/>
            </w:pPr>
            <w:r>
              <w:rPr/>
              <w:t>验收合格</w:t>
            </w:r>
          </w:p>
        </w:tc>
      </w:tr>
      <w:tr>
        <w:tc>
          <w:tcPr>
            <w:tcW w:type="dxa" w:w="2076"/>
          </w:tcPr>
          <w:p>
            <w:pPr>
              <w:pStyle w:val="null3"/>
              <w:jc w:val="left"/>
            </w:pPr>
            <w:r>
              <w:rPr/>
              <w:t>4</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1、期次1，说明：通过福州市文物局组织的专家验收</w:t>
            </w:r>
          </w:p>
        </w:tc>
      </w:tr>
      <w:tr>
        <w:tc>
          <w:tcPr>
            <w:tcW w:type="dxa" w:w="2076"/>
          </w:tcPr>
          <w:p>
            <w:pPr>
              <w:pStyle w:val="null3"/>
              <w:jc w:val="left"/>
            </w:pPr>
            <w:r>
              <w:rPr/>
              <w:t>5</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6</w:t>
            </w:r>
          </w:p>
        </w:tc>
        <w:tc>
          <w:tcPr>
            <w:tcW w:type="dxa" w:w="2076"/>
          </w:tcPr>
          <w:p/>
        </w:tc>
        <w:tc>
          <w:tcPr>
            <w:tcW w:type="dxa" w:w="2076"/>
          </w:tcPr>
          <w:p>
            <w:pPr>
              <w:pStyle w:val="null3"/>
              <w:jc w:val="left"/>
            </w:pPr>
            <w:r>
              <w:rPr/>
              <w:t>合同支付方式</w:t>
            </w:r>
          </w:p>
        </w:tc>
        <w:tc>
          <w:tcPr>
            <w:tcW w:type="dxa" w:w="2076"/>
          </w:tcPr>
          <w:p>
            <w:pPr>
              <w:pStyle w:val="null3"/>
              <w:jc w:val="left"/>
            </w:pPr>
            <w:r>
              <w:rPr/>
              <w:t>1、合同签订后，作为项目启动资金，达到付款条件起30日，支付合同总金额的30.00%</w:t>
            </w:r>
          </w:p>
          <w:p>
            <w:pPr>
              <w:pStyle w:val="null3"/>
              <w:jc w:val="left"/>
            </w:pPr>
            <w:r>
              <w:rPr/>
              <w:t>2、修缮工程完成并通过福州市文物局组织的专家验收，达到付款条件起90日，支付合同总金额的40.00%</w:t>
            </w:r>
          </w:p>
          <w:p>
            <w:pPr>
              <w:pStyle w:val="null3"/>
              <w:jc w:val="left"/>
            </w:pPr>
            <w:r>
              <w:rPr/>
              <w:t>3、经第三方造价公司审核后，达到付款条件起10日，支付合同总金额的25.00%</w:t>
            </w:r>
          </w:p>
          <w:p>
            <w:pPr>
              <w:pStyle w:val="null3"/>
              <w:jc w:val="left"/>
            </w:pPr>
            <w:r>
              <w:rPr/>
              <w:t>4、质保期满之后，达到付款条件起30日，支付合同总金额的5.00%</w:t>
            </w:r>
          </w:p>
        </w:tc>
      </w:tr>
    </w:tbl>
    <w:p>
      <w:pPr>
        <w:pStyle w:val="null3"/>
        <w:jc w:val="left"/>
      </w:pPr>
      <w:r>
        <w:rPr/>
        <w:t>其他商务要求：</w:t>
      </w:r>
    </w:p>
    <w:p>
      <w:pPr>
        <w:pStyle w:val="null3"/>
        <w:jc w:val="left"/>
      </w:pPr>
    </w:p>
    <w:p>
      <w:pPr>
        <w:pStyle w:val="null3"/>
        <w:jc w:val="left"/>
      </w:pPr>
    </w:p>
    <w:p>
      <w:pPr>
        <w:pStyle w:val="null3"/>
        <w:spacing w:after="135"/>
        <w:ind w:firstLine="480"/>
        <w:jc w:val="left"/>
      </w:pPr>
    </w:p>
    <w:p>
      <w:pPr>
        <w:pStyle w:val="null3"/>
        <w:spacing w:after="135"/>
        <w:ind w:firstLine="480"/>
        <w:jc w:val="left"/>
      </w:pPr>
      <w:r>
        <w:rPr>
          <w:rFonts w:ascii="宋体" w:hAnsi="宋体" w:cs="宋体" w:eastAsia="宋体"/>
          <w:sz w:val="24"/>
        </w:rPr>
        <w:t>1、修缮过程中涉及的专家咨询及会务安排，由</w:t>
      </w:r>
      <w:r>
        <w:rPr>
          <w:rFonts w:ascii="宋体" w:hAnsi="宋体" w:cs="宋体" w:eastAsia="宋体"/>
          <w:sz w:val="24"/>
        </w:rPr>
        <w:t>成交人</w:t>
      </w:r>
      <w:r>
        <w:rPr>
          <w:rFonts w:ascii="宋体" w:hAnsi="宋体" w:cs="宋体" w:eastAsia="宋体"/>
          <w:sz w:val="24"/>
        </w:rPr>
        <w:t>承担。</w:t>
      </w:r>
    </w:p>
    <w:p>
      <w:pPr>
        <w:pStyle w:val="null3"/>
        <w:spacing w:after="135"/>
        <w:ind w:firstLine="480"/>
        <w:jc w:val="left"/>
      </w:pPr>
      <w:r>
        <w:rPr>
          <w:rFonts w:ascii="宋体" w:hAnsi="宋体" w:cs="宋体" w:eastAsia="宋体"/>
          <w:sz w:val="24"/>
        </w:rPr>
        <w:t>2、</w:t>
      </w:r>
      <w:r>
        <w:rPr>
          <w:rFonts w:ascii="宋体" w:hAnsi="宋体" w:cs="宋体" w:eastAsia="宋体"/>
          <w:sz w:val="24"/>
        </w:rPr>
        <w:t>成交人</w:t>
      </w:r>
      <w:r>
        <w:rPr>
          <w:rFonts w:ascii="宋体" w:hAnsi="宋体" w:cs="宋体" w:eastAsia="宋体"/>
          <w:sz w:val="24"/>
        </w:rPr>
        <w:t>须自行解决地形图等基础资料。</w:t>
      </w:r>
    </w:p>
    <w:p>
      <w:pPr>
        <w:pStyle w:val="null3"/>
        <w:spacing w:after="135"/>
        <w:ind w:firstLine="480"/>
        <w:jc w:val="left"/>
      </w:pPr>
      <w:r>
        <w:rPr>
          <w:rFonts w:ascii="宋体" w:hAnsi="宋体" w:cs="宋体" w:eastAsia="宋体"/>
          <w:sz w:val="24"/>
        </w:rPr>
        <w:t>3、本项目投标报价须包含服务期内所产生的一切费用（如规划设计费、专家咨询费、会务费、所需地形图等相关基础资料等费用）。</w:t>
      </w:r>
    </w:p>
    <w:p>
      <w:pPr>
        <w:pStyle w:val="null3"/>
        <w:spacing w:after="135"/>
        <w:ind w:firstLine="480"/>
        <w:jc w:val="left"/>
      </w:pPr>
      <w:r>
        <w:rPr>
          <w:rFonts w:ascii="宋体" w:hAnsi="宋体" w:cs="宋体" w:eastAsia="宋体"/>
          <w:sz w:val="24"/>
        </w:rPr>
        <w:t>4、对于采购人提出的技术实现方式、手段和要求，</w:t>
      </w:r>
      <w:r>
        <w:rPr>
          <w:rFonts w:ascii="宋体" w:hAnsi="宋体" w:cs="宋体" w:eastAsia="宋体"/>
          <w:sz w:val="24"/>
        </w:rPr>
        <w:t>成交人</w:t>
      </w:r>
      <w:r>
        <w:rPr>
          <w:rFonts w:ascii="宋体" w:hAnsi="宋体" w:cs="宋体" w:eastAsia="宋体"/>
          <w:sz w:val="24"/>
        </w:rPr>
        <w:t>必须无条件服从并完成有关工作，不再另计开发费用。</w:t>
      </w:r>
      <w:r>
        <w:rPr>
          <w:rFonts w:ascii="宋体" w:hAnsi="宋体" w:cs="宋体" w:eastAsia="宋体"/>
          <w:sz w:val="24"/>
        </w:rPr>
        <w:t>.</w:t>
      </w:r>
    </w:p>
    <w:p>
      <w:pPr>
        <w:pStyle w:val="null3"/>
        <w:spacing w:after="135"/>
        <w:ind w:firstLine="480"/>
        <w:jc w:val="left"/>
      </w:pPr>
      <w:r>
        <w:rPr>
          <w:rFonts w:ascii="宋体" w:hAnsi="宋体" w:cs="宋体" w:eastAsia="宋体"/>
          <w:sz w:val="24"/>
        </w:rPr>
        <w:t>5、质保期：1年</w:t>
      </w:r>
    </w:p>
    <w:p>
      <w:pPr>
        <w:pStyle w:val="null3"/>
        <w:spacing w:after="135"/>
        <w:ind w:firstLine="480"/>
        <w:jc w:val="left"/>
      </w:pPr>
      <w:r>
        <w:rPr>
          <w:rFonts w:ascii="宋体" w:hAnsi="宋体" w:cs="宋体" w:eastAsia="宋体"/>
          <w:sz w:val="24"/>
        </w:rPr>
        <w:t>6、经第三方造价公司审核后（若审核价高于中标价以中标价支付，若审核价低于中标价以审核价支付）。</w:t>
      </w:r>
    </w:p>
    <w:p>
      <w:pPr>
        <w:pStyle w:val="null3"/>
        <w:spacing w:after="135"/>
        <w:ind w:firstLine="480"/>
        <w:jc w:val="left"/>
      </w:pPr>
      <w:r>
        <w:rPr>
          <w:rFonts w:ascii="宋体" w:hAnsi="宋体" w:cs="宋体" w:eastAsia="宋体"/>
          <w:sz w:val="24"/>
        </w:rPr>
        <w:t>7</w:t>
      </w:r>
      <w:r>
        <w:rPr>
          <w:rFonts w:ascii="宋体" w:hAnsi="宋体" w:cs="宋体" w:eastAsia="宋体"/>
          <w:sz w:val="24"/>
        </w:rPr>
        <w:t>、除</w:t>
      </w:r>
      <w:r>
        <w:rPr>
          <w:rFonts w:ascii="宋体" w:hAnsi="宋体" w:cs="宋体" w:eastAsia="宋体"/>
          <w:sz w:val="24"/>
        </w:rPr>
        <w:t>磋商</w:t>
      </w:r>
      <w:r>
        <w:rPr>
          <w:rFonts w:ascii="宋体" w:hAnsi="宋体" w:cs="宋体" w:eastAsia="宋体"/>
          <w:sz w:val="24"/>
        </w:rPr>
        <w:t>文件另有规定外，若出现有关法律、法规和规章有强制性规定但招标文件未列明的情形，则供应商应按照有关法律、法规和规章强制性规定执行。</w:t>
      </w:r>
    </w:p>
    <w:p>
      <w:pPr>
        <w:pStyle w:val="null3"/>
        <w:ind w:firstLine="480"/>
        <w:jc w:val="both"/>
      </w:pPr>
    </w:p>
    <w:p>
      <w:pPr>
        <w:pStyle w:val="null3"/>
        <w:jc w:val="left"/>
        <w:outlineLvl w:val="2"/>
      </w:pPr>
      <w:r>
        <w:rPr>
          <w:b/>
          <w:sz w:val="28"/>
        </w:rPr>
        <w:t>四、其他事项</w:t>
      </w:r>
    </w:p>
    <w:p>
      <w:pPr>
        <w:pStyle w:val="null3"/>
        <w:jc w:val="left"/>
      </w:pPr>
    </w:p>
    <w:p>
      <w:pPr>
        <w:pStyle w:val="null3"/>
        <w:jc w:val="left"/>
      </w:pPr>
      <w:r>
        <w:rPr/>
        <w:t>无</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center"/>
        <w:outlineLvl w:val="1"/>
      </w:pPr>
      <w:r>
        <w:rPr>
          <w:b/>
          <w:sz w:val="36"/>
        </w:rPr>
        <w:t>福建省政府采购合同</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1、签订合同应遵守《中华人民共和国政府采购法》、《中华人民共和国民法典》。</w:t>
      </w:r>
    </w:p>
    <w:p>
      <w:pPr>
        <w:pStyle w:val="null3"/>
        <w:jc w:val="left"/>
        <w:outlineLvl w:val="3"/>
      </w:pPr>
      <w:r>
        <w:rPr>
          <w:b/>
          <w:sz w:val="24"/>
        </w:rPr>
        <w:t>2、签订合同时，采购人与中标人应结合招标文件第五章规定填列相应内容。招标文件第五章已有规定的，双方均不得对规定进行变更或调整；招标文件第五章未作规定的，双方可通过友好协商进行约定</w:t>
      </w:r>
      <w:r>
        <w:br/>
      </w:r>
    </w:p>
    <w:p>
      <w:pPr>
        <w:pStyle w:val="null3"/>
        <w:jc w:val="left"/>
      </w:pPr>
      <w:r>
        <w:rPr/>
        <w:t>甲方：__________________</w:t>
      </w:r>
    </w:p>
    <w:p>
      <w:pPr>
        <w:pStyle w:val="null3"/>
        <w:jc w:val="left"/>
      </w:pPr>
      <w:r>
        <w:rPr/>
        <w:t>乙方：__________________</w:t>
      </w:r>
    </w:p>
    <w:p>
      <w:pPr>
        <w:pStyle w:val="null3"/>
        <w:jc w:val="left"/>
      </w:pPr>
      <w:r>
        <w:rPr/>
        <w:t>根据项目编号为_______的______项目（以下简称：“本项目”）的招标结果，乙方为中标人。现经甲乙双方友好协商，就以下事项达成一致并签订本合同：</w:t>
      </w:r>
    </w:p>
    <w:p>
      <w:pPr>
        <w:pStyle w:val="null3"/>
        <w:jc w:val="left"/>
        <w:outlineLvl w:val="3"/>
      </w:pPr>
      <w:r>
        <w:rPr>
          <w:b/>
          <w:sz w:val="24"/>
        </w:rPr>
        <w:t>1、下列合同文件是构成本合同不可分割的部分</w:t>
      </w:r>
    </w:p>
    <w:p>
      <w:pPr>
        <w:pStyle w:val="null3"/>
        <w:jc w:val="left"/>
      </w:pPr>
      <w:r>
        <w:rPr/>
        <w:t>1.1合同条款；</w:t>
      </w:r>
    </w:p>
    <w:p>
      <w:pPr>
        <w:pStyle w:val="null3"/>
        <w:jc w:val="left"/>
      </w:pPr>
      <w:r>
        <w:rPr/>
        <w:t>1.2招标文件、乙方的投标文件；</w:t>
      </w:r>
    </w:p>
    <w:p>
      <w:pPr>
        <w:pStyle w:val="null3"/>
        <w:jc w:val="left"/>
      </w:pPr>
      <w:r>
        <w:rPr/>
        <w:t>1.3其他文件或材料：</w:t>
      </w:r>
    </w:p>
    <w:p>
      <w:pPr>
        <w:pStyle w:val="null3"/>
        <w:jc w:val="left"/>
        <w:outlineLvl w:val="3"/>
      </w:pPr>
      <w:r>
        <w:rPr>
          <w:b/>
          <w:sz w:val="24"/>
        </w:rPr>
        <w:t>2、合同标的</w:t>
      </w:r>
      <w:r>
        <w:br/>
      </w:r>
    </w:p>
    <w:p>
      <w:pPr>
        <w:pStyle w:val="null3"/>
        <w:jc w:val="left"/>
        <w:outlineLvl w:val="3"/>
      </w:pPr>
      <w:r>
        <w:rPr>
          <w:b/>
          <w:sz w:val="24"/>
        </w:rPr>
        <w:t>3、合同总金额</w:t>
      </w:r>
    </w:p>
    <w:p>
      <w:pPr>
        <w:pStyle w:val="null3"/>
        <w:jc w:val="left"/>
      </w:pPr>
      <w:r>
        <w:rPr/>
        <w:t>3.1合同总金额为人民币大写：</w:t>
      </w:r>
    </w:p>
    <w:p>
      <w:pPr>
        <w:pStyle w:val="null3"/>
        <w:jc w:val="left"/>
        <w:outlineLvl w:val="3"/>
      </w:pPr>
      <w:r>
        <w:rPr>
          <w:b/>
          <w:sz w:val="24"/>
        </w:rPr>
        <w:t>4、合同标的交付时间、地点和条件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b/>
          <w:sz w:val="24"/>
        </w:rPr>
        <w:t>5、合同标的应符合招标文件、乙方投标文件的规定或约定，具体如下：</w:t>
      </w:r>
      <w:r>
        <w:br/>
      </w:r>
    </w:p>
    <w:p>
      <w:pPr>
        <w:pStyle w:val="null3"/>
        <w:jc w:val="left"/>
        <w:outlineLvl w:val="3"/>
      </w:pPr>
      <w:r>
        <w:rPr>
          <w:b/>
          <w:sz w:val="24"/>
        </w:rPr>
        <w:t>6、验收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b/>
          <w:sz w:val="24"/>
        </w:rPr>
        <w:t>7、合同款项的支付应按照招标文件的规定进行，具体如下：</w:t>
      </w:r>
      <w:r>
        <w:br/>
      </w:r>
    </w:p>
    <w:p>
      <w:pPr>
        <w:pStyle w:val="null3"/>
        <w:jc w:val="left"/>
        <w:outlineLvl w:val="3"/>
      </w:pPr>
      <w:r>
        <w:rPr>
          <w:b/>
          <w:sz w:val="24"/>
        </w:rPr>
        <w:t>8、履约保证金</w:t>
      </w:r>
      <w:r>
        <w:br/>
      </w:r>
    </w:p>
    <w:p>
      <w:pPr>
        <w:pStyle w:val="null3"/>
        <w:jc w:val="left"/>
        <w:outlineLvl w:val="3"/>
      </w:pPr>
      <w:r>
        <w:rPr>
          <w:b/>
          <w:sz w:val="24"/>
        </w:rPr>
        <w:t>9、合同有效期</w:t>
      </w:r>
      <w:r>
        <w:br/>
      </w:r>
    </w:p>
    <w:p>
      <w:pPr>
        <w:pStyle w:val="null3"/>
        <w:jc w:val="left"/>
        <w:outlineLvl w:val="3"/>
      </w:pPr>
      <w:r>
        <w:rPr>
          <w:b/>
          <w:sz w:val="24"/>
        </w:rPr>
        <w:t>10、违约责任</w:t>
      </w:r>
      <w:r>
        <w:br/>
      </w:r>
    </w:p>
    <w:p>
      <w:pPr>
        <w:pStyle w:val="null3"/>
        <w:jc w:val="left"/>
        <w:outlineLvl w:val="3"/>
      </w:pPr>
      <w:r>
        <w:rPr>
          <w:b/>
          <w:sz w:val="24"/>
        </w:rPr>
        <w:t>11、知识产权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b/>
          <w:sz w:val="24"/>
        </w:rPr>
        <w:t>12、解决争议的方法</w:t>
      </w:r>
    </w:p>
    <w:p>
      <w:pPr>
        <w:pStyle w:val="null3"/>
        <w:jc w:val="left"/>
      </w:pPr>
      <w:r>
        <w:rPr/>
        <w:t>12.1甲、乙双方协商解决。</w:t>
      </w:r>
    </w:p>
    <w:p>
      <w:pPr>
        <w:pStyle w:val="null3"/>
        <w:jc w:val="left"/>
      </w:pPr>
      <w:r>
        <w:rPr/>
        <w:t>12.2若协商解决不成，则通过下列途径之一解决：</w:t>
      </w:r>
    </w:p>
    <w:p>
      <w:pPr>
        <w:pStyle w:val="null3"/>
        <w:spacing w:lineRule="auto" w:line="300"/>
        <w:jc w:val="left"/>
      </w:pPr>
      <w:r>
        <w:rPr/>
        <w:t>提交仲裁委员会仲裁，具体如下：</w:t>
      </w:r>
    </w:p>
    <w:p>
      <w:pPr>
        <w:pStyle w:val="null3"/>
        <w:spacing w:lineRule="auto" w:line="300"/>
        <w:jc w:val="left"/>
      </w:pPr>
      <w:r>
        <w:rPr/>
        <w:t>向人民法院提起诉讼，具体如下：</w:t>
      </w:r>
    </w:p>
    <w:p>
      <w:pPr>
        <w:pStyle w:val="null3"/>
        <w:jc w:val="left"/>
        <w:outlineLvl w:val="3"/>
      </w:pPr>
      <w:r>
        <w:rPr>
          <w:b/>
          <w:sz w:val="24"/>
        </w:rPr>
        <w:t>13、不可抗力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b/>
          <w:sz w:val="24"/>
        </w:rPr>
        <w:t>14、合同条款</w:t>
      </w:r>
      <w:r>
        <w:br/>
      </w:r>
    </w:p>
    <w:p>
      <w:pPr>
        <w:pStyle w:val="null3"/>
        <w:jc w:val="left"/>
        <w:outlineLvl w:val="3"/>
      </w:pPr>
      <w:r>
        <w:rPr>
          <w:b/>
          <w:sz w:val="24"/>
        </w:rPr>
        <w:t>15、其他约定</w:t>
      </w:r>
    </w:p>
    <w:p>
      <w:pPr>
        <w:pStyle w:val="null3"/>
        <w:jc w:val="left"/>
      </w:pPr>
      <w:r>
        <w:rPr/>
        <w:t>15.1合同文件与本合同具有同等法律效力。</w:t>
      </w:r>
    </w:p>
    <w:p>
      <w:pPr>
        <w:pStyle w:val="null3"/>
        <w:jc w:val="left"/>
      </w:pPr>
      <w:r>
        <w:rPr/>
        <w:t>15.2本合同未尽事宜，双方可另行补充。</w:t>
      </w:r>
    </w:p>
    <w:p>
      <w:pPr>
        <w:pStyle w:val="null3"/>
        <w:jc w:val="left"/>
      </w:pPr>
      <w:r>
        <w:rPr/>
        <w:t>15.3本合同自签订之日起生效。</w:t>
      </w:r>
    </w:p>
    <w:p>
      <w:pPr>
        <w:pStyle w:val="null3"/>
        <w:jc w:val="left"/>
      </w:pPr>
      <w:r>
        <w:rPr/>
        <w:t>15.4本合同纸质文件一式__份。合同电子文本通过政府采购网上公开信息系统自动备案。合同纸质文本需与备案电子文本一致，以备案电子文本为准，具有同等效力</w:t>
      </w:r>
    </w:p>
    <w:p>
      <w:pPr>
        <w:pStyle w:val="null3"/>
        <w:jc w:val="left"/>
      </w:pPr>
      <w:r>
        <w:rPr/>
        <w:t>15.5其他：</w:t>
      </w:r>
      <w:r>
        <w:br/>
      </w:r>
      <w:r>
        <w:br/>
      </w:r>
      <w:r>
        <w:br/>
      </w:r>
    </w:p>
    <w:p>
      <w:pPr>
        <w:pStyle w:val="null3"/>
        <w:jc w:val="left"/>
      </w:pP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r>
        <w:rPr/>
        <w:t>签订地点： __________________</w:t>
      </w:r>
    </w:p>
    <w:p>
      <w:pPr>
        <w:pStyle w:val="null3"/>
        <w:jc w:val="left"/>
      </w:pPr>
      <w:r>
        <w:rPr/>
        <w:t>签订日期：___年___月___日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r>
        <w:br/>
      </w:r>
      <w:r>
        <w:br/>
      </w:r>
    </w:p>
    <w:p>
      <w:pPr>
        <w:pStyle w:val="null3"/>
        <w:ind w:firstLine="480"/>
        <w:jc w:val="center"/>
      </w:pPr>
      <w:r>
        <w:rPr/>
        <w:t>※注意事项：</w:t>
      </w:r>
    </w:p>
    <w:p>
      <w:pPr>
        <w:pStyle w:val="null3"/>
        <w:ind w:firstLine="480"/>
        <w:jc w:val="center"/>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b/>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供应商为监狱企业，提供本单位制造的货物（承接的服务），并在电子响应文件中提供省级以上监狱管理局、戒毒管理局（含新疆生产建设兵团）出具的属于监狱企业的证明文件。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