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提前下达2023年省级粮食安全专项资金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提前下达2023年省级粮食安全专项资金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产销协作，引粮入闽，增强市场粮食总量和品种结构，增强政府粮食宏观调控能力和粮食市场供应；通过实施技术改造，粮食加工企业及时更新，淘汰落后生产设施设备，提高生产自动化程度，提高企业经济效益，增强市场竞争力，满足地方粮食应急加工需要，保障我省粮食安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34.5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1)引粮入闽补助企业的数量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2)企业日加工力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吨/日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1)调入粮食合格率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1)按时完成率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1)辖区人民口粮安全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