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粮食安全保障体系建设专项资金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根据《福州市人民政府办公厅关于加强粮食安全保障体系建设的实施意见》（榕政办[2018]274号），用于扶持粮食生产基地、引粮入榕、骨干粮食加工企业、骨干粮店、粮食应急供应网点等补贴。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用于扶持粮食生产基地、引粮入榕、骨干粮食加工企业、骨干粮店、粮食应急供应网点等补贴。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652.15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308.5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1)扶持骨干粮店的数量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2)扶持粮食加工企业数量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3)扶持粮食应急供应网点数量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1)骨干粮食加工企业送检质量达标率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1)扶持粮食应急供应网点数量及时率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1)费用控制率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1)受益群体满意度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