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44"/>
          <w:szCs w:val="44"/>
          <w:lang w:val="en-US" w:eastAsia="zh-CN"/>
        </w:rPr>
      </w:pPr>
    </w:p>
    <w:p>
      <w:pPr>
        <w:jc w:val="center"/>
        <w:rPr>
          <w:rFonts w:hint="eastAsia" w:ascii="宋体" w:hAnsi="宋体" w:eastAsia="宋体" w:cs="宋体"/>
          <w:b w:val="0"/>
          <w:bCs w:val="0"/>
          <w:color w:val="auto"/>
          <w:sz w:val="44"/>
          <w:szCs w:val="44"/>
          <w:lang w:val="en-US" w:eastAsia="zh-CN"/>
        </w:rPr>
      </w:pPr>
    </w:p>
    <w:p>
      <w:pPr>
        <w:jc w:val="center"/>
        <w:rPr>
          <w:rFonts w:hint="eastAsia" w:ascii="宋体" w:hAnsi="宋体" w:eastAsia="宋体" w:cs="宋体"/>
          <w:b w:val="0"/>
          <w:bCs w:val="0"/>
          <w:color w:val="auto"/>
          <w:sz w:val="44"/>
          <w:szCs w:val="44"/>
          <w:lang w:val="en-US" w:eastAsia="zh-CN"/>
        </w:rPr>
      </w:pPr>
    </w:p>
    <w:p>
      <w:pPr>
        <w:jc w:val="center"/>
        <w:rPr>
          <w:rFonts w:hint="eastAsia" w:ascii="宋体" w:hAnsi="宋体" w:eastAsia="宋体" w:cs="宋体"/>
          <w:b w:val="0"/>
          <w:bCs w:val="0"/>
          <w:color w:val="auto"/>
          <w:sz w:val="44"/>
          <w:szCs w:val="44"/>
          <w:lang w:val="en-US" w:eastAsia="zh-CN"/>
        </w:rPr>
      </w:pPr>
    </w:p>
    <w:p>
      <w:pPr>
        <w:jc w:val="center"/>
        <w:rPr>
          <w:rFonts w:hint="eastAsia" w:ascii="宋体" w:hAnsi="宋体" w:eastAsia="宋体" w:cs="宋体"/>
          <w:b w:val="0"/>
          <w:bCs w:val="0"/>
          <w:color w:val="auto"/>
          <w:sz w:val="44"/>
          <w:szCs w:val="44"/>
          <w:lang w:val="en-US" w:eastAsia="zh-CN"/>
        </w:rPr>
      </w:pPr>
    </w:p>
    <w:p>
      <w:pPr>
        <w:jc w:val="center"/>
        <w:rPr>
          <w:rFonts w:hint="eastAsia" w:ascii="宋体" w:hAnsi="宋体" w:eastAsia="宋体" w:cs="宋体"/>
          <w:b/>
          <w:bCs/>
          <w:color w:val="auto"/>
          <w:sz w:val="44"/>
          <w:szCs w:val="44"/>
          <w:lang w:val="en-US"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《福州市电动自行车和电动汽车充电设施消防安全导则》</w:t>
      </w: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（征求意见稿）</w:t>
      </w: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宋体" w:hAnsi="宋体" w:eastAsia="宋体" w:cs="宋体"/>
          <w:b w:val="0"/>
          <w:bCs w:val="0"/>
          <w:color w:val="auto"/>
          <w:sz w:val="30"/>
          <w:szCs w:val="30"/>
          <w:lang w:val="en-US" w:eastAsia="zh-CN"/>
        </w:rPr>
      </w:pPr>
    </w:p>
    <w:p>
      <w:pPr>
        <w:jc w:val="center"/>
        <w:rPr>
          <w:rFonts w:hint="eastAsia" w:ascii="黑体" w:hAnsi="黑体" w:eastAsia="黑体" w:cs="黑体"/>
          <w:b w:val="0"/>
          <w:bCs w:val="0"/>
          <w:color w:val="auto"/>
          <w:sz w:val="32"/>
          <w:szCs w:val="32"/>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黑体" w:hAnsi="黑体" w:eastAsia="黑体" w:cs="黑体"/>
          <w:b w:val="0"/>
          <w:bCs w:val="0"/>
          <w:color w:val="auto"/>
          <w:sz w:val="32"/>
          <w:szCs w:val="32"/>
          <w:lang w:val="en-US" w:eastAsia="zh-CN"/>
        </w:rPr>
        <w:t>2024年6月</w:t>
      </w:r>
    </w:p>
    <w:p>
      <w:pPr>
        <w:jc w:val="center"/>
        <w:rPr>
          <w:rFonts w:hint="default" w:ascii="宋体" w:hAnsi="宋体" w:eastAsia="宋体" w:cs="宋体"/>
          <w:b w:val="0"/>
          <w:bCs w:val="0"/>
          <w:color w:val="auto"/>
          <w:sz w:val="30"/>
          <w:szCs w:val="30"/>
          <w:lang w:val="en-US" w:eastAsia="zh-CN"/>
        </w:rPr>
      </w:pPr>
      <w:r>
        <w:rPr>
          <w:rFonts w:hint="eastAsia" w:ascii="黑体" w:hAnsi="黑体" w:eastAsia="黑体" w:cs="黑体"/>
          <w:b w:val="0"/>
          <w:bCs w:val="0"/>
          <w:color w:val="auto"/>
          <w:sz w:val="32"/>
          <w:szCs w:val="32"/>
          <w:lang w:val="en-US" w:eastAsia="zh-CN"/>
        </w:rPr>
        <w:t>修订说明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_GB2312"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自2023年《福州市电动车充电设施消防设计导则（试行）》发布以来，在指导建设工程电动车充电设施消防设计方面发挥了重要作用，但建设、设计单位在应用时仍存在不足：部分技术要求不够完善、架空层使用技防不明确、消防安全管理缺失，且未解决充电设施不足、既有小区增设充电设施等问题，需要总结分析实际应用情况，按照2023年6月1日新实施《建筑防火通用规范》GB55037-2022的有关规定，并结合《国务院办公厅关于印发电动自行车安全隐患全链条整治行动方案的通知》（国办发[2024]19号）、《福州市人民政府办公厅关于进一步构建高质量充电基础设施体系的实施意见》（榕政办规〔2023〕21号）等文件相关要求，汲取今年来电动自行车、电动汽车火灾事故教训，提出了更加明确详实、指导性更强的要求，全面高质量建设电动自行车和电动汽车充电设施，加强使用安全监管，切实保障人民群众生命财产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此次修订工作是依据《福州市人民政府安全生产委员会办公室、福州市消防安全委员会办公室关于印发福州市电动自行车停放充电管理消</w:t>
      </w:r>
      <w:bookmarkStart w:id="19" w:name="_GoBack"/>
      <w:bookmarkEnd w:id="19"/>
      <w:r>
        <w:rPr>
          <w:rFonts w:hint="eastAsia" w:ascii="仿宋" w:hAnsi="仿宋" w:eastAsia="仿宋" w:cs="仿宋"/>
          <w:b w:val="0"/>
          <w:bCs w:val="0"/>
          <w:color w:val="auto"/>
          <w:kern w:val="2"/>
          <w:sz w:val="32"/>
          <w:szCs w:val="32"/>
          <w:lang w:val="en-US" w:eastAsia="zh-CN" w:bidi="ar-SA"/>
        </w:rPr>
        <w:t>防安全负面清单及治理措施(试行)的通知》（榕安办〔2024〕29号），由福州市住房和城乡建设局会同</w:t>
      </w:r>
      <w:r>
        <w:rPr>
          <w:rFonts w:hint="eastAsia" w:ascii="仿宋" w:hAnsi="仿宋" w:eastAsia="仿宋" w:cs="仿宋"/>
          <w:color w:val="auto"/>
          <w:sz w:val="32"/>
          <w:szCs w:val="32"/>
          <w:lang w:val="en-US" w:eastAsia="zh-CN"/>
        </w:rPr>
        <w:t>福州市消防救援支队共同完成。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本次修订导则代替福州市城乡建设局印发的《福州市电动车充电设施消防设计导则（试行）》（榕建消审验[2023]3号），本次修订导则与其相比，主要有以下修订变化：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1、名称改为《福州市电动自行车和电动汽车充电设施消防安全导则》；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2、导则适用范围不局限于消防设计，涵盖了消防设计、建设和使用。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3、导则的结构进行了调整，第3章、第4章按照场所要求、建筑防火、安全疏散、消防设施器材、电气、安全管理、其他等章节进行具体划分，并补充了相应技术要求；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4、明确了在建筑</w:t>
      </w:r>
      <w:r>
        <w:rPr>
          <w:rFonts w:hint="eastAsia" w:ascii="仿宋" w:hAnsi="仿宋" w:eastAsia="仿宋" w:cs="仿宋"/>
          <w:b w:val="0"/>
          <w:bCs w:val="0"/>
          <w:color w:val="auto"/>
          <w:kern w:val="2"/>
          <w:sz w:val="32"/>
          <w:szCs w:val="32"/>
          <w:lang w:val="en-US" w:eastAsia="zh-CN" w:bidi="ar-SA"/>
        </w:rPr>
        <w:t>架空层使用充电设施的具体技防要求；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5、增加了3.6和4.6章节“安全管理”内容；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6、补充了3.7和4.7章节“其他”内容，完善了既有建筑建设、设计和使用</w:t>
      </w:r>
      <w:r>
        <w:rPr>
          <w:rFonts w:hint="eastAsia" w:ascii="仿宋" w:hAnsi="仿宋" w:eastAsia="仿宋" w:cs="仿宋"/>
          <w:b w:val="0"/>
          <w:bCs w:val="0"/>
          <w:color w:val="auto"/>
          <w:kern w:val="2"/>
          <w:sz w:val="32"/>
          <w:szCs w:val="32"/>
          <w:lang w:val="en-US" w:eastAsia="zh-CN" w:bidi="ar-SA"/>
        </w:rPr>
        <w:t>充电设施的要求。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本次修订的指导单位、编制单位、编制人员和审查人员：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指导单位：</w:t>
      </w:r>
      <w:r>
        <w:rPr>
          <w:rFonts w:hint="eastAsia" w:ascii="仿宋" w:hAnsi="仿宋" w:eastAsia="仿宋" w:cs="仿宋"/>
          <w:b w:val="0"/>
          <w:bCs w:val="0"/>
          <w:color w:val="auto"/>
          <w:kern w:val="2"/>
          <w:sz w:val="32"/>
          <w:szCs w:val="32"/>
          <w:lang w:val="en-US" w:eastAsia="zh-CN" w:bidi="ar-SA"/>
        </w:rPr>
        <w:t>福州市住房和城乡建设局</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福州市消防救援支队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sz w:val="32"/>
          <w:szCs w:val="32"/>
          <w:lang w:val="en-US" w:eastAsia="zh-CN"/>
        </w:rPr>
        <w:t>编制单位：</w:t>
      </w:r>
      <w:r>
        <w:rPr>
          <w:rFonts w:hint="eastAsia" w:ascii="仿宋" w:hAnsi="仿宋" w:eastAsia="仿宋" w:cs="仿宋"/>
          <w:b w:val="0"/>
          <w:bCs w:val="0"/>
          <w:color w:val="auto"/>
          <w:kern w:val="2"/>
          <w:sz w:val="32"/>
          <w:szCs w:val="32"/>
          <w:lang w:val="en-US" w:eastAsia="zh-CN" w:bidi="ar-SA"/>
        </w:rPr>
        <w:t>福州市建设工程消防设计审查验收技术中心</w:t>
      </w:r>
    </w:p>
    <w:p>
      <w:pPr>
        <w:keepNext w:val="0"/>
        <w:keepLines w:val="0"/>
        <w:pageBreakBefore w:val="0"/>
        <w:widowControl w:val="0"/>
        <w:kinsoku/>
        <w:wordWrap/>
        <w:overflowPunct/>
        <w:topLinePunct w:val="0"/>
        <w:autoSpaceDE/>
        <w:autoSpaceDN/>
        <w:bidi w:val="0"/>
        <w:adjustRightInd/>
        <w:snapToGrid/>
        <w:ind w:firstLine="2240" w:firstLineChars="7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福州市建设工程施工图审查中心有限公司</w:t>
      </w:r>
    </w:p>
    <w:p>
      <w:pPr>
        <w:keepNext w:val="0"/>
        <w:keepLines w:val="0"/>
        <w:pageBreakBefore w:val="0"/>
        <w:widowControl w:val="0"/>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福州建功施工图审查有限公司</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编制人员：</w:t>
      </w:r>
      <w:r>
        <w:rPr>
          <w:rFonts w:hint="eastAsia" w:ascii="仿宋" w:hAnsi="仿宋" w:eastAsia="仿宋" w:cs="仿宋"/>
          <w:b w:val="0"/>
          <w:bCs w:val="0"/>
          <w:color w:val="auto"/>
          <w:kern w:val="2"/>
          <w:sz w:val="32"/>
          <w:szCs w:val="32"/>
          <w:lang w:val="en-US" w:eastAsia="zh-CN" w:bidi="ar-SA"/>
        </w:rPr>
        <w:t>汪帆、张琳、魏景城、林振发、肖瑞标、</w:t>
      </w:r>
    </w:p>
    <w:p>
      <w:pPr>
        <w:keepNext w:val="0"/>
        <w:keepLines w:val="0"/>
        <w:pageBreakBefore w:val="0"/>
        <w:widowControl w:val="0"/>
        <w:kinsoku/>
        <w:wordWrap/>
        <w:overflowPunct/>
        <w:topLinePunct w:val="0"/>
        <w:autoSpaceDE/>
        <w:autoSpaceDN/>
        <w:bidi w:val="0"/>
        <w:adjustRightInd/>
        <w:snapToGrid/>
        <w:ind w:firstLine="2240" w:firstLineChars="7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杨亚利、朱飞建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sz w:val="32"/>
          <w:szCs w:val="32"/>
          <w:lang w:val="en-US" w:eastAsia="zh-CN"/>
        </w:rPr>
        <w:t>审查人员：</w:t>
      </w:r>
      <w:r>
        <w:rPr>
          <w:rFonts w:hint="eastAsia" w:ascii="仿宋" w:hAnsi="仿宋" w:eastAsia="仿宋" w:cs="仿宋"/>
          <w:b w:val="0"/>
          <w:bCs w:val="0"/>
          <w:color w:val="auto"/>
          <w:kern w:val="2"/>
          <w:sz w:val="32"/>
          <w:szCs w:val="32"/>
          <w:lang w:val="en-US" w:eastAsia="zh-CN" w:bidi="ar-SA"/>
        </w:rPr>
        <w:t>严涛、齐敬、石国勇、林崇涛</w:t>
      </w: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sectPr>
          <w:footerReference r:id="rId3" w:type="default"/>
          <w:pgSz w:w="11906" w:h="16838"/>
          <w:pgMar w:top="1440" w:right="1800" w:bottom="1440" w:left="1800" w:header="851" w:footer="992" w:gutter="0"/>
          <w:pgNumType w:fmt="upperRoman" w:start="1"/>
          <w:cols w:space="425" w:num="1"/>
          <w:docGrid w:type="lines" w:linePitch="312" w:charSpace="0"/>
        </w:sectPr>
      </w:pPr>
    </w:p>
    <w:sdt>
      <w:sdtPr>
        <w:rPr>
          <w:rFonts w:ascii="宋体" w:hAnsi="宋体" w:eastAsia="宋体" w:cstheme="minorBidi"/>
          <w:color w:val="auto"/>
          <w:kern w:val="2"/>
          <w:sz w:val="21"/>
          <w:szCs w:val="24"/>
          <w:lang w:val="en-US" w:eastAsia="zh-CN" w:bidi="ar-SA"/>
        </w:rPr>
        <w:id w:val="147480304"/>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p>
        <w:p>
          <w:pPr>
            <w:pStyle w:val="5"/>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TOC \o "1-2" \h \u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_Toc1609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前    言</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_Toc1609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5"/>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_Toc15538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1 总    则</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_Toc15538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5"/>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_Toc14105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2 术    语</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_Toc14105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5"/>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_Toc9713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 电动自行车充电设施建设的要求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_Toc9713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_Toc23155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3.1 场所要求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_Toc23155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_Toc10306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3.2 建筑防火</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_Toc10306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5</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_Toc29060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3.3 安全疏散</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_Toc29060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7</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_Toc24477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3.4 消防设施器材</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_Toc24477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8</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_Toc20960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3.5 电气</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_Toc20960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10</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_Toc14049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3.6 安全管理</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_Toc14049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10</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_Toc16440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3.7 其他</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_Toc16440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12</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5"/>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_Toc30738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 电动汽车分散充电设施建设的要求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_Toc30738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13</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_Toc7698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4.1 场所要求</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_Toc7698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13</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_Toc10198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4.2 建筑防火</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_Toc10198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13</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_Toc10733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4.3 安全疏散</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_Toc10733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_Toc19829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4.4 消防设施器材</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_Toc19829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_Toc3494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4.5 电气</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_Toc3494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16</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_Toc5153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4.6 安全管理</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_Toc5153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17</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6"/>
            <w:tabs>
              <w:tab w:val="right" w:leader="dot" w:pos="8306"/>
            </w:tabs>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_Toc5429 </w:instrText>
          </w:r>
          <w:r>
            <w:rPr>
              <w:rFonts w:hint="eastAsia" w:ascii="黑体" w:hAnsi="黑体" w:eastAsia="黑体" w:cs="黑体"/>
              <w:color w:val="auto"/>
              <w:sz w:val="32"/>
              <w:szCs w:val="32"/>
            </w:rPr>
            <w:fldChar w:fldCharType="separate"/>
          </w:r>
          <w:r>
            <w:rPr>
              <w:rFonts w:hint="eastAsia" w:ascii="黑体" w:hAnsi="黑体" w:eastAsia="黑体" w:cs="黑体"/>
              <w:bCs w:val="0"/>
              <w:color w:val="auto"/>
              <w:sz w:val="32"/>
              <w:szCs w:val="32"/>
              <w:lang w:val="en-US" w:eastAsia="zh-CN"/>
            </w:rPr>
            <w:t>4.7 其他</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_Toc5429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18</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ascii="黑体" w:hAnsi="黑体" w:eastAsia="黑体" w:cs="黑体"/>
              <w:color w:val="auto"/>
              <w:sz w:val="32"/>
              <w:szCs w:val="32"/>
            </w:rPr>
            <w:fldChar w:fldCharType="end"/>
          </w:r>
        </w:p>
      </w:sdtContent>
    </w:sdt>
    <w:p>
      <w:pPr>
        <w:jc w:val="center"/>
        <w:outlineLvl w:val="0"/>
        <w:rPr>
          <w:rFonts w:hint="eastAsia" w:ascii="黑体" w:hAnsi="黑体" w:eastAsia="黑体" w:cs="黑体"/>
          <w:b w:val="0"/>
          <w:bCs w:val="0"/>
          <w:color w:val="auto"/>
          <w:sz w:val="32"/>
          <w:szCs w:val="32"/>
          <w:lang w:val="en-US" w:eastAsia="zh-CN"/>
        </w:rPr>
      </w:pPr>
      <w:bookmarkStart w:id="0" w:name="_Toc1609"/>
      <w:r>
        <w:rPr>
          <w:rFonts w:hint="eastAsia" w:ascii="黑体" w:hAnsi="黑体" w:eastAsia="黑体" w:cs="黑体"/>
          <w:b w:val="0"/>
          <w:bCs w:val="0"/>
          <w:color w:val="auto"/>
          <w:sz w:val="32"/>
          <w:szCs w:val="32"/>
          <w:lang w:val="en-US" w:eastAsia="zh-CN"/>
        </w:rPr>
        <w:t>前    言</w:t>
      </w:r>
      <w:bookmarkEnd w:id="0"/>
    </w:p>
    <w:p>
      <w:pPr>
        <w:jc w:val="center"/>
        <w:outlineLvl w:val="0"/>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为明确建设工程电动自行车、电动汽车充电设施消防设计、建设和使用要求，从源头上防止和减少电动自行车、电动汽车消防安全事故发生，切实加强电动自行车、电动汽车集中充电停放场所安全建设，</w:t>
      </w:r>
      <w:r>
        <w:rPr>
          <w:rFonts w:hint="eastAsia" w:ascii="仿宋" w:hAnsi="仿宋" w:eastAsia="仿宋" w:cs="仿宋"/>
          <w:b w:val="0"/>
          <w:bCs w:val="0"/>
          <w:color w:val="auto"/>
          <w:kern w:val="2"/>
          <w:sz w:val="32"/>
          <w:szCs w:val="32"/>
          <w:lang w:val="en-US" w:eastAsia="zh-CN" w:bidi="ar-SA"/>
        </w:rPr>
        <w:t>汲取</w:t>
      </w:r>
      <w:r>
        <w:rPr>
          <w:rFonts w:hint="eastAsia" w:ascii="仿宋" w:hAnsi="仿宋" w:eastAsia="仿宋" w:cs="仿宋"/>
          <w:color w:val="auto"/>
          <w:sz w:val="32"/>
          <w:szCs w:val="32"/>
          <w:lang w:val="en-US" w:eastAsia="zh-CN"/>
        </w:rPr>
        <w:t>近</w:t>
      </w:r>
      <w:r>
        <w:rPr>
          <w:rFonts w:hint="eastAsia" w:ascii="仿宋" w:hAnsi="仿宋" w:eastAsia="仿宋" w:cs="仿宋"/>
          <w:b w:val="0"/>
          <w:bCs w:val="0"/>
          <w:color w:val="auto"/>
          <w:kern w:val="2"/>
          <w:sz w:val="32"/>
          <w:szCs w:val="32"/>
          <w:lang w:val="en-US" w:eastAsia="zh-CN" w:bidi="ar-SA"/>
        </w:rPr>
        <w:t>年来电动自行车、电动汽车火灾事故教训，</w:t>
      </w:r>
      <w:r>
        <w:rPr>
          <w:rFonts w:hint="eastAsia" w:ascii="仿宋" w:hAnsi="仿宋" w:eastAsia="仿宋" w:cs="仿宋"/>
          <w:color w:val="auto"/>
          <w:sz w:val="32"/>
          <w:szCs w:val="32"/>
          <w:lang w:val="en-US" w:eastAsia="zh-CN"/>
        </w:rPr>
        <w:t>认真参考总结充电设施消防设计、建设和使用的经验，在广泛征求意见的基础上，编制本导则。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本导则提出了电动车充电设施的总则、术语、电动自行车充电设施建设的要求、电动汽车分散充电设施建设的要求，明确了电动自行车、电动汽车充电设施的消防设计、建设和使用要求。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lang w:val="en-US" w:eastAsia="zh-CN"/>
        </w:rPr>
        <w:t>本导则由福州市住房和城乡建设局负责管理与解释，福州市建设工程消防设计审查验收技术中心负责具体内容的解释。</w:t>
      </w:r>
      <w:r>
        <w:rPr>
          <w:rFonts w:hint="eastAsia" w:ascii="黑体" w:hAnsi="黑体" w:eastAsia="黑体" w:cs="黑体"/>
          <w:b w:val="0"/>
          <w:bCs w:val="0"/>
          <w:color w:val="auto"/>
          <w:sz w:val="32"/>
          <w:szCs w:val="32"/>
          <w:lang w:val="en-US" w:eastAsia="zh-CN"/>
        </w:rPr>
        <w:br w:type="page"/>
      </w:r>
    </w:p>
    <w:p>
      <w:pPr>
        <w:jc w:val="center"/>
        <w:outlineLvl w:val="0"/>
        <w:rPr>
          <w:rFonts w:hint="eastAsia" w:ascii="黑体" w:hAnsi="黑体" w:eastAsia="黑体" w:cs="黑体"/>
          <w:b w:val="0"/>
          <w:bCs w:val="0"/>
          <w:color w:val="auto"/>
          <w:sz w:val="32"/>
          <w:szCs w:val="32"/>
          <w:lang w:val="en-US" w:eastAsia="zh-CN"/>
        </w:rPr>
      </w:pPr>
      <w:bookmarkStart w:id="1" w:name="_Toc15538"/>
      <w:r>
        <w:rPr>
          <w:rFonts w:hint="eastAsia" w:ascii="黑体" w:hAnsi="黑体" w:eastAsia="黑体" w:cs="黑体"/>
          <w:b w:val="0"/>
          <w:bCs w:val="0"/>
          <w:color w:val="auto"/>
          <w:sz w:val="32"/>
          <w:szCs w:val="32"/>
          <w:lang w:val="en-US" w:eastAsia="zh-CN"/>
        </w:rPr>
        <w:t>1 总    则</w:t>
      </w:r>
      <w:bookmarkEnd w:id="1"/>
    </w:p>
    <w:p>
      <w:p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1.0.1 </w:t>
      </w:r>
      <w:r>
        <w:rPr>
          <w:rFonts w:hint="eastAsia" w:ascii="仿宋" w:hAnsi="仿宋" w:eastAsia="仿宋" w:cs="仿宋"/>
          <w:color w:val="auto"/>
          <w:sz w:val="32"/>
          <w:szCs w:val="32"/>
          <w:lang w:val="en-US" w:eastAsia="zh-CN"/>
        </w:rPr>
        <w:t>本导则适用于</w:t>
      </w:r>
      <w:r>
        <w:rPr>
          <w:rFonts w:hint="eastAsia" w:ascii="仿宋" w:hAnsi="仿宋" w:eastAsia="仿宋" w:cs="仿宋"/>
          <w:i w:val="0"/>
          <w:iCs w:val="0"/>
          <w:caps w:val="0"/>
          <w:color w:val="auto"/>
          <w:spacing w:val="0"/>
          <w:sz w:val="32"/>
          <w:szCs w:val="32"/>
          <w:shd w:val="clear" w:fill="FFFFFF"/>
          <w:lang w:val="en-US" w:eastAsia="zh-CN"/>
        </w:rPr>
        <w:t>福州市</w:t>
      </w:r>
      <w:r>
        <w:rPr>
          <w:rFonts w:hint="eastAsia" w:ascii="仿宋" w:hAnsi="仿宋" w:eastAsia="仿宋" w:cs="仿宋"/>
          <w:b w:val="0"/>
          <w:bCs w:val="0"/>
          <w:color w:val="auto"/>
          <w:sz w:val="32"/>
          <w:szCs w:val="32"/>
          <w:lang w:val="en-US" w:eastAsia="zh-CN"/>
        </w:rPr>
        <w:t>新建、改建、扩建的</w:t>
      </w:r>
      <w:r>
        <w:rPr>
          <w:rFonts w:hint="eastAsia" w:ascii="仿宋" w:hAnsi="仿宋" w:eastAsia="仿宋" w:cs="仿宋"/>
          <w:i w:val="0"/>
          <w:iCs w:val="0"/>
          <w:caps w:val="0"/>
          <w:color w:val="auto"/>
          <w:spacing w:val="0"/>
          <w:sz w:val="32"/>
          <w:szCs w:val="32"/>
          <w:shd w:val="clear" w:fill="FFFFFF"/>
          <w:lang w:val="en-US" w:eastAsia="zh-CN"/>
        </w:rPr>
        <w:t>建设工程中</w:t>
      </w:r>
      <w:r>
        <w:rPr>
          <w:rFonts w:hint="eastAsia" w:ascii="仿宋" w:hAnsi="仿宋" w:eastAsia="仿宋" w:cs="仿宋"/>
          <w:b w:val="0"/>
          <w:bCs w:val="0"/>
          <w:color w:val="auto"/>
          <w:sz w:val="32"/>
          <w:szCs w:val="32"/>
          <w:lang w:val="en-US" w:eastAsia="zh-CN"/>
        </w:rPr>
        <w:t>民用</w:t>
      </w:r>
      <w:r>
        <w:rPr>
          <w:rFonts w:hint="eastAsia" w:ascii="仿宋" w:hAnsi="仿宋" w:eastAsia="仿宋" w:cs="仿宋"/>
          <w:i w:val="0"/>
          <w:iCs w:val="0"/>
          <w:caps w:val="0"/>
          <w:color w:val="auto"/>
          <w:spacing w:val="0"/>
          <w:sz w:val="32"/>
          <w:szCs w:val="32"/>
          <w:shd w:val="clear" w:fill="FFFFFF"/>
          <w:lang w:val="en-US" w:eastAsia="zh-CN"/>
        </w:rPr>
        <w:t>电</w:t>
      </w:r>
      <w:r>
        <w:rPr>
          <w:rFonts w:hint="eastAsia" w:ascii="仿宋" w:hAnsi="仿宋" w:eastAsia="仿宋" w:cs="仿宋"/>
          <w:i w:val="0"/>
          <w:iCs w:val="0"/>
          <w:caps w:val="0"/>
          <w:color w:val="auto"/>
          <w:spacing w:val="0"/>
          <w:sz w:val="32"/>
          <w:szCs w:val="32"/>
          <w:shd w:val="clear" w:fill="FFFFFF"/>
        </w:rPr>
        <w:t>动</w:t>
      </w:r>
      <w:r>
        <w:rPr>
          <w:rFonts w:hint="eastAsia" w:ascii="仿宋" w:hAnsi="仿宋" w:eastAsia="仿宋" w:cs="仿宋"/>
          <w:i w:val="0"/>
          <w:iCs w:val="0"/>
          <w:caps w:val="0"/>
          <w:color w:val="auto"/>
          <w:spacing w:val="0"/>
          <w:sz w:val="32"/>
          <w:szCs w:val="32"/>
          <w:shd w:val="clear" w:fill="FFFFFF"/>
          <w:lang w:val="en-US" w:eastAsia="zh-CN"/>
        </w:rPr>
        <w:t>自行</w:t>
      </w:r>
      <w:r>
        <w:rPr>
          <w:rFonts w:hint="eastAsia" w:ascii="仿宋" w:hAnsi="仿宋" w:eastAsia="仿宋" w:cs="仿宋"/>
          <w:i w:val="0"/>
          <w:iCs w:val="0"/>
          <w:caps w:val="0"/>
          <w:color w:val="auto"/>
          <w:spacing w:val="0"/>
          <w:sz w:val="32"/>
          <w:szCs w:val="32"/>
          <w:shd w:val="clear" w:fill="FFFFFF"/>
        </w:rPr>
        <w:t>车和电动汽车</w:t>
      </w:r>
      <w:r>
        <w:rPr>
          <w:rFonts w:hint="eastAsia" w:ascii="仿宋" w:hAnsi="仿宋" w:eastAsia="仿宋" w:cs="仿宋"/>
          <w:b w:val="0"/>
          <w:bCs w:val="0"/>
          <w:color w:val="auto"/>
          <w:sz w:val="32"/>
          <w:szCs w:val="32"/>
          <w:lang w:val="en-US" w:eastAsia="zh-CN"/>
        </w:rPr>
        <w:t>充电设施（包括预留安装条件）的消防设计、建设和使用。</w:t>
      </w:r>
    </w:p>
    <w:p>
      <w:p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1.0.2 本导则</w:t>
      </w:r>
      <w:r>
        <w:rPr>
          <w:rFonts w:hint="eastAsia" w:ascii="仿宋" w:hAnsi="仿宋" w:eastAsia="仿宋" w:cs="仿宋"/>
          <w:i w:val="0"/>
          <w:iCs w:val="0"/>
          <w:caps w:val="0"/>
          <w:color w:val="auto"/>
          <w:spacing w:val="0"/>
          <w:sz w:val="32"/>
          <w:szCs w:val="32"/>
          <w:shd w:val="clear" w:fill="FFFFFF"/>
        </w:rPr>
        <w:t>适用于为</w:t>
      </w:r>
      <w:r>
        <w:rPr>
          <w:rFonts w:hint="eastAsia" w:ascii="仿宋" w:hAnsi="仿宋" w:eastAsia="仿宋" w:cs="仿宋"/>
          <w:i w:val="0"/>
          <w:iCs w:val="0"/>
          <w:caps w:val="0"/>
          <w:color w:val="auto"/>
          <w:spacing w:val="0"/>
          <w:sz w:val="32"/>
          <w:szCs w:val="32"/>
          <w:shd w:val="clear" w:fill="FFFFFF"/>
          <w:lang w:val="en-US" w:eastAsia="zh-CN"/>
        </w:rPr>
        <w:t>民用的电</w:t>
      </w:r>
      <w:r>
        <w:rPr>
          <w:rFonts w:hint="eastAsia" w:ascii="仿宋" w:hAnsi="仿宋" w:eastAsia="仿宋" w:cs="仿宋"/>
          <w:i w:val="0"/>
          <w:iCs w:val="0"/>
          <w:caps w:val="0"/>
          <w:color w:val="auto"/>
          <w:spacing w:val="0"/>
          <w:sz w:val="32"/>
          <w:szCs w:val="32"/>
          <w:shd w:val="clear" w:fill="FFFFFF"/>
        </w:rPr>
        <w:t>动</w:t>
      </w:r>
      <w:r>
        <w:rPr>
          <w:rFonts w:hint="eastAsia" w:ascii="仿宋" w:hAnsi="仿宋" w:eastAsia="仿宋" w:cs="仿宋"/>
          <w:i w:val="0"/>
          <w:iCs w:val="0"/>
          <w:caps w:val="0"/>
          <w:color w:val="auto"/>
          <w:spacing w:val="0"/>
          <w:sz w:val="32"/>
          <w:szCs w:val="32"/>
          <w:shd w:val="clear" w:fill="FFFFFF"/>
          <w:lang w:val="en-US" w:eastAsia="zh-CN"/>
        </w:rPr>
        <w:t>自行</w:t>
      </w:r>
      <w:r>
        <w:rPr>
          <w:rFonts w:hint="eastAsia" w:ascii="仿宋" w:hAnsi="仿宋" w:eastAsia="仿宋" w:cs="仿宋"/>
          <w:i w:val="0"/>
          <w:iCs w:val="0"/>
          <w:caps w:val="0"/>
          <w:color w:val="auto"/>
          <w:spacing w:val="0"/>
          <w:sz w:val="32"/>
          <w:szCs w:val="32"/>
          <w:shd w:val="clear" w:fill="FFFFFF"/>
        </w:rPr>
        <w:t>车和电动汽车提供电能的充电设施。</w:t>
      </w:r>
      <w:r>
        <w:rPr>
          <w:rFonts w:hint="eastAsia" w:ascii="仿宋" w:hAnsi="仿宋" w:eastAsia="仿宋" w:cs="仿宋"/>
          <w:b w:val="0"/>
          <w:bCs w:val="0"/>
          <w:color w:val="auto"/>
          <w:sz w:val="32"/>
          <w:szCs w:val="32"/>
          <w:lang w:val="en-US" w:eastAsia="zh-CN"/>
        </w:rPr>
        <w:t>本导则充电设施主要指民用的电动自行车（含电动摩托车）停放充换电基础设施、电动汽车分散充电基础设施等，包括电动自行车（含电动摩托车）充（换）电站的建设；不包括电动汽车换电站、充电站及储能电站和特定行业的充电设施。</w:t>
      </w:r>
    </w:p>
    <w:p>
      <w:pPr>
        <w:numPr>
          <w:ilvl w:val="0"/>
          <w:numId w:val="0"/>
        </w:num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1.0.3 除本导则要求外，</w:t>
      </w:r>
      <w:r>
        <w:rPr>
          <w:rFonts w:hint="eastAsia" w:ascii="仿宋" w:hAnsi="仿宋" w:eastAsia="仿宋" w:cs="仿宋"/>
          <w:i w:val="0"/>
          <w:iCs w:val="0"/>
          <w:caps w:val="0"/>
          <w:color w:val="auto"/>
          <w:spacing w:val="0"/>
          <w:sz w:val="32"/>
          <w:szCs w:val="32"/>
          <w:shd w:val="clear" w:fill="FFFFFF"/>
          <w:lang w:val="en-US" w:eastAsia="zh-CN"/>
        </w:rPr>
        <w:t>电</w:t>
      </w:r>
      <w:r>
        <w:rPr>
          <w:rFonts w:hint="eastAsia" w:ascii="仿宋" w:hAnsi="仿宋" w:eastAsia="仿宋" w:cs="仿宋"/>
          <w:i w:val="0"/>
          <w:iCs w:val="0"/>
          <w:caps w:val="0"/>
          <w:color w:val="auto"/>
          <w:spacing w:val="0"/>
          <w:sz w:val="32"/>
          <w:szCs w:val="32"/>
          <w:shd w:val="clear" w:fill="FFFFFF"/>
        </w:rPr>
        <w:t>动</w:t>
      </w:r>
      <w:r>
        <w:rPr>
          <w:rFonts w:hint="eastAsia" w:ascii="仿宋" w:hAnsi="仿宋" w:eastAsia="仿宋" w:cs="仿宋"/>
          <w:i w:val="0"/>
          <w:iCs w:val="0"/>
          <w:caps w:val="0"/>
          <w:color w:val="auto"/>
          <w:spacing w:val="0"/>
          <w:sz w:val="32"/>
          <w:szCs w:val="32"/>
          <w:shd w:val="clear" w:fill="FFFFFF"/>
          <w:lang w:val="en-US" w:eastAsia="zh-CN"/>
        </w:rPr>
        <w:t>自行</w:t>
      </w:r>
      <w:r>
        <w:rPr>
          <w:rFonts w:hint="eastAsia" w:ascii="仿宋" w:hAnsi="仿宋" w:eastAsia="仿宋" w:cs="仿宋"/>
          <w:i w:val="0"/>
          <w:iCs w:val="0"/>
          <w:caps w:val="0"/>
          <w:color w:val="auto"/>
          <w:spacing w:val="0"/>
          <w:sz w:val="32"/>
          <w:szCs w:val="32"/>
          <w:shd w:val="clear" w:fill="FFFFFF"/>
        </w:rPr>
        <w:t>车和电动汽车</w:t>
      </w:r>
      <w:r>
        <w:rPr>
          <w:rFonts w:hint="eastAsia" w:ascii="仿宋" w:hAnsi="仿宋" w:eastAsia="仿宋" w:cs="仿宋"/>
          <w:b w:val="0"/>
          <w:bCs w:val="0"/>
          <w:color w:val="auto"/>
          <w:sz w:val="32"/>
          <w:szCs w:val="32"/>
          <w:lang w:val="en-US" w:eastAsia="zh-CN"/>
        </w:rPr>
        <w:t>充电设施建设的消防设计、建设和使用尚应执行国家工程建设消防技术标准和规范的有关要求。</w:t>
      </w:r>
    </w:p>
    <w:p>
      <w:pPr>
        <w:numPr>
          <w:ilvl w:val="0"/>
          <w:numId w:val="0"/>
        </w:numPr>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1.0.4历史建筑、老旧小区、城中村以及公共场所建设电</w:t>
      </w:r>
      <w:r>
        <w:rPr>
          <w:rFonts w:hint="eastAsia" w:ascii="仿宋" w:hAnsi="仿宋" w:eastAsia="仿宋" w:cs="仿宋"/>
          <w:i w:val="0"/>
          <w:iCs w:val="0"/>
          <w:caps w:val="0"/>
          <w:color w:val="auto"/>
          <w:spacing w:val="0"/>
          <w:sz w:val="32"/>
          <w:szCs w:val="32"/>
          <w:shd w:val="clear" w:fill="FFFFFF"/>
        </w:rPr>
        <w:t>动</w:t>
      </w:r>
      <w:r>
        <w:rPr>
          <w:rFonts w:hint="eastAsia" w:ascii="仿宋" w:hAnsi="仿宋" w:eastAsia="仿宋" w:cs="仿宋"/>
          <w:i w:val="0"/>
          <w:iCs w:val="0"/>
          <w:caps w:val="0"/>
          <w:color w:val="auto"/>
          <w:spacing w:val="0"/>
          <w:sz w:val="32"/>
          <w:szCs w:val="32"/>
          <w:shd w:val="clear" w:fill="FFFFFF"/>
          <w:lang w:val="en-US" w:eastAsia="zh-CN"/>
        </w:rPr>
        <w:t>自行</w:t>
      </w:r>
      <w:r>
        <w:rPr>
          <w:rFonts w:hint="eastAsia" w:ascii="仿宋" w:hAnsi="仿宋" w:eastAsia="仿宋" w:cs="仿宋"/>
          <w:i w:val="0"/>
          <w:iCs w:val="0"/>
          <w:caps w:val="0"/>
          <w:color w:val="auto"/>
          <w:spacing w:val="0"/>
          <w:sz w:val="32"/>
          <w:szCs w:val="32"/>
          <w:shd w:val="clear" w:fill="FFFFFF"/>
        </w:rPr>
        <w:t>车和电动汽车充电设施</w:t>
      </w:r>
      <w:r>
        <w:rPr>
          <w:rFonts w:hint="eastAsia" w:ascii="仿宋" w:hAnsi="仿宋" w:eastAsia="仿宋" w:cs="仿宋"/>
          <w:i w:val="0"/>
          <w:iCs w:val="0"/>
          <w:caps w:val="0"/>
          <w:color w:val="auto"/>
          <w:spacing w:val="0"/>
          <w:sz w:val="32"/>
          <w:szCs w:val="32"/>
          <w:shd w:val="clear" w:fill="FFFFFF"/>
          <w:lang w:val="en-US" w:eastAsia="zh-CN"/>
        </w:rPr>
        <w:t>的，可结合历史建筑、老旧小区、城中村及公共场所改造，参照本导则实施消防设计、</w:t>
      </w:r>
      <w:r>
        <w:rPr>
          <w:rFonts w:hint="eastAsia" w:ascii="仿宋" w:hAnsi="仿宋" w:eastAsia="仿宋" w:cs="仿宋"/>
          <w:b w:val="0"/>
          <w:bCs w:val="0"/>
          <w:color w:val="auto"/>
          <w:sz w:val="32"/>
          <w:szCs w:val="32"/>
          <w:lang w:val="en-US" w:eastAsia="zh-CN"/>
        </w:rPr>
        <w:t>建设和使用</w:t>
      </w:r>
      <w:r>
        <w:rPr>
          <w:rFonts w:hint="eastAsia" w:ascii="仿宋" w:hAnsi="仿宋" w:eastAsia="仿宋" w:cs="仿宋"/>
          <w:i w:val="0"/>
          <w:iCs w:val="0"/>
          <w:caps w:val="0"/>
          <w:color w:val="auto"/>
          <w:spacing w:val="0"/>
          <w:sz w:val="32"/>
          <w:szCs w:val="32"/>
          <w:shd w:val="clear" w:fill="FFFFFF"/>
          <w:lang w:val="en-US" w:eastAsia="zh-CN"/>
        </w:rPr>
        <w:t>。</w:t>
      </w:r>
    </w:p>
    <w:p>
      <w:pPr>
        <w:jc w:val="center"/>
        <w:rPr>
          <w:rFonts w:hint="eastAsia" w:ascii="黑体" w:hAnsi="黑体" w:eastAsia="黑体" w:cs="黑体"/>
          <w:b w:val="0"/>
          <w:bCs w:val="0"/>
          <w:color w:val="auto"/>
          <w:sz w:val="32"/>
          <w:szCs w:val="32"/>
          <w:lang w:val="en-US" w:eastAsia="zh-CN"/>
        </w:rPr>
      </w:pP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jc w:val="center"/>
        <w:outlineLvl w:val="0"/>
        <w:rPr>
          <w:rFonts w:hint="eastAsia" w:ascii="黑体" w:hAnsi="黑体" w:eastAsia="黑体" w:cs="黑体"/>
          <w:b w:val="0"/>
          <w:bCs w:val="0"/>
          <w:color w:val="auto"/>
          <w:sz w:val="32"/>
          <w:szCs w:val="32"/>
          <w:lang w:val="en-US" w:eastAsia="zh-CN"/>
        </w:rPr>
      </w:pPr>
      <w:bookmarkStart w:id="2" w:name="_Toc14105"/>
      <w:r>
        <w:rPr>
          <w:rFonts w:hint="eastAsia" w:ascii="黑体" w:hAnsi="黑体" w:eastAsia="黑体" w:cs="黑体"/>
          <w:b w:val="0"/>
          <w:bCs w:val="0"/>
          <w:color w:val="auto"/>
          <w:sz w:val="32"/>
          <w:szCs w:val="32"/>
          <w:lang w:val="en-US" w:eastAsia="zh-CN"/>
        </w:rPr>
        <w:t>2 术    语</w:t>
      </w:r>
      <w:bookmarkEnd w:id="2"/>
    </w:p>
    <w:p>
      <w:pPr>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2.0.1 </w:t>
      </w:r>
      <w:r>
        <w:rPr>
          <w:rFonts w:hint="eastAsia" w:ascii="仿宋" w:hAnsi="仿宋" w:eastAsia="仿宋" w:cs="仿宋"/>
          <w:b w:val="0"/>
          <w:bCs w:val="0"/>
          <w:color w:val="auto"/>
          <w:sz w:val="32"/>
          <w:szCs w:val="32"/>
          <w:lang w:val="en-US" w:eastAsia="zh-CN"/>
        </w:rPr>
        <w:t>电动自行车：以车载蓄电池作为辅助能源，能实现电助动/电驱动功能的自行车或摩托车。</w:t>
      </w:r>
    </w:p>
    <w:p>
      <w:pPr>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2.0.2 </w:t>
      </w:r>
      <w:r>
        <w:rPr>
          <w:rFonts w:hint="eastAsia" w:ascii="仿宋" w:hAnsi="仿宋" w:eastAsia="仿宋" w:cs="仿宋"/>
          <w:b w:val="0"/>
          <w:bCs w:val="0"/>
          <w:color w:val="auto"/>
          <w:sz w:val="32"/>
          <w:szCs w:val="32"/>
          <w:lang w:val="en-US" w:eastAsia="zh-CN"/>
        </w:rPr>
        <w:t>电动汽车：在道路上使用，由电动机驱动的汽车，电动机的动力电源源于可充电电池或其他易携带能量存储的设备，不包括室内电动车、公交电动车和工业载重电动车等特种车辆。</w:t>
      </w:r>
    </w:p>
    <w:p>
      <w:pPr>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2.0.3 </w:t>
      </w:r>
      <w:r>
        <w:rPr>
          <w:rFonts w:hint="eastAsia" w:ascii="仿宋" w:hAnsi="仿宋" w:eastAsia="仿宋" w:cs="仿宋"/>
          <w:b w:val="0"/>
          <w:bCs w:val="0"/>
          <w:color w:val="auto"/>
          <w:sz w:val="32"/>
          <w:szCs w:val="32"/>
          <w:lang w:val="en-US" w:eastAsia="zh-CN"/>
        </w:rPr>
        <w:t>充电设施：为电动自行车、电动汽车提供电能的充电设备、供电系统、配套设施等相关基础设施的场所。</w:t>
      </w:r>
    </w:p>
    <w:p>
      <w:pPr>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2.0.4 </w:t>
      </w:r>
      <w:r>
        <w:rPr>
          <w:rFonts w:hint="eastAsia" w:ascii="仿宋" w:hAnsi="仿宋" w:eastAsia="仿宋" w:cs="仿宋"/>
          <w:b w:val="0"/>
          <w:bCs w:val="0"/>
          <w:color w:val="auto"/>
          <w:sz w:val="32"/>
          <w:szCs w:val="32"/>
          <w:lang w:val="en-US" w:eastAsia="zh-CN"/>
        </w:rPr>
        <w:t>电动自行车充电设施：可为电动自行车</w:t>
      </w:r>
      <w:r>
        <w:rPr>
          <w:rFonts w:hint="eastAsia" w:ascii="仿宋" w:hAnsi="仿宋" w:eastAsia="仿宋" w:cs="仿宋"/>
          <w:color w:val="auto"/>
          <w:sz w:val="32"/>
          <w:szCs w:val="32"/>
          <w:lang w:val="en-US" w:eastAsia="zh-CN"/>
        </w:rPr>
        <w:t>停放、</w:t>
      </w:r>
      <w:r>
        <w:rPr>
          <w:rFonts w:hint="eastAsia" w:ascii="仿宋" w:hAnsi="仿宋" w:eastAsia="仿宋" w:cs="仿宋"/>
          <w:b w:val="0"/>
          <w:bCs w:val="0"/>
          <w:color w:val="auto"/>
          <w:sz w:val="32"/>
          <w:szCs w:val="32"/>
          <w:lang w:val="en-US" w:eastAsia="zh-CN"/>
        </w:rPr>
        <w:t>蓄电池充电</w:t>
      </w:r>
      <w:r>
        <w:rPr>
          <w:rFonts w:hint="eastAsia" w:ascii="仿宋" w:hAnsi="仿宋" w:eastAsia="仿宋" w:cs="仿宋"/>
          <w:color w:val="auto"/>
          <w:sz w:val="32"/>
          <w:szCs w:val="32"/>
          <w:lang w:val="en-US" w:eastAsia="zh-CN"/>
        </w:rPr>
        <w:t>或提供电池更换服务</w:t>
      </w:r>
      <w:r>
        <w:rPr>
          <w:rFonts w:hint="eastAsia" w:ascii="仿宋" w:hAnsi="仿宋" w:eastAsia="仿宋" w:cs="仿宋"/>
          <w:b w:val="0"/>
          <w:bCs w:val="0"/>
          <w:color w:val="auto"/>
          <w:sz w:val="32"/>
          <w:szCs w:val="32"/>
          <w:lang w:val="en-US" w:eastAsia="zh-CN"/>
        </w:rPr>
        <w:t>的场所，场所包括但不限于电动自行车场、电动自行车库、电动自行车充（换）电站等，不包括设置于街边的便民投币式快速充电点。</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2.0.5 </w:t>
      </w:r>
      <w:r>
        <w:rPr>
          <w:rFonts w:hint="eastAsia" w:ascii="仿宋" w:hAnsi="仿宋" w:eastAsia="仿宋" w:cs="仿宋"/>
          <w:b w:val="0"/>
          <w:bCs w:val="0"/>
          <w:color w:val="auto"/>
          <w:sz w:val="32"/>
          <w:szCs w:val="32"/>
          <w:lang w:val="en-US" w:eastAsia="zh-CN"/>
        </w:rPr>
        <w:t>电动汽车</w:t>
      </w:r>
      <w:r>
        <w:rPr>
          <w:rFonts w:hint="eastAsia" w:ascii="仿宋" w:hAnsi="仿宋" w:eastAsia="仿宋" w:cs="仿宋"/>
          <w:color w:val="auto"/>
          <w:sz w:val="32"/>
          <w:szCs w:val="32"/>
        </w:rPr>
        <w:t>分散充电设施</w:t>
      </w:r>
      <w:r>
        <w:rPr>
          <w:rFonts w:hint="eastAsia" w:ascii="仿宋" w:hAnsi="仿宋" w:eastAsia="仿宋" w:cs="仿宋"/>
          <w:color w:val="auto"/>
          <w:sz w:val="32"/>
          <w:szCs w:val="32"/>
          <w:lang w:val="en-US" w:eastAsia="zh-CN"/>
        </w:rPr>
        <w:t>：结合用户居住地停车位、单位停车场、公共建筑物停车场、社会公共停车场、路内临时停车位等配建的为电动汽车提供电能的充电基础设施的场所。</w:t>
      </w:r>
    </w:p>
    <w:p>
      <w:pPr>
        <w:jc w:val="center"/>
        <w:rPr>
          <w:rFonts w:hint="eastAsia" w:ascii="黑体" w:hAnsi="黑体" w:eastAsia="黑体" w:cs="黑体"/>
          <w:b w:val="0"/>
          <w:bCs w:val="0"/>
          <w:color w:val="auto"/>
          <w:sz w:val="32"/>
          <w:szCs w:val="32"/>
          <w:lang w:val="en-US" w:eastAsia="zh-CN"/>
        </w:rPr>
      </w:pP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jc w:val="center"/>
        <w:outlineLvl w:val="0"/>
        <w:rPr>
          <w:rFonts w:hint="eastAsia" w:ascii="黑体" w:hAnsi="黑体" w:eastAsia="黑体" w:cs="黑体"/>
          <w:b w:val="0"/>
          <w:bCs w:val="0"/>
          <w:color w:val="auto"/>
          <w:sz w:val="32"/>
          <w:szCs w:val="32"/>
          <w:lang w:val="en-US" w:eastAsia="zh-CN"/>
        </w:rPr>
      </w:pPr>
      <w:bookmarkStart w:id="3" w:name="_Toc9713"/>
      <w:r>
        <w:rPr>
          <w:rFonts w:hint="eastAsia" w:ascii="黑体" w:hAnsi="黑体" w:eastAsia="黑体" w:cs="黑体"/>
          <w:b w:val="0"/>
          <w:bCs w:val="0"/>
          <w:color w:val="auto"/>
          <w:sz w:val="32"/>
          <w:szCs w:val="32"/>
          <w:lang w:val="en-US" w:eastAsia="zh-CN"/>
        </w:rPr>
        <w:t>3 电动自行车充电设施建设的要求</w:t>
      </w:r>
      <w:bookmarkEnd w:id="3"/>
    </w:p>
    <w:p>
      <w:pPr>
        <w:jc w:val="center"/>
        <w:outlineLvl w:val="1"/>
        <w:rPr>
          <w:rFonts w:hint="default" w:ascii="黑体" w:hAnsi="黑体" w:eastAsia="黑体" w:cs="黑体"/>
          <w:b w:val="0"/>
          <w:bCs w:val="0"/>
          <w:color w:val="auto"/>
          <w:sz w:val="32"/>
          <w:szCs w:val="32"/>
          <w:lang w:val="en-US" w:eastAsia="zh-CN"/>
        </w:rPr>
      </w:pPr>
      <w:bookmarkStart w:id="4" w:name="_Toc23155"/>
      <w:r>
        <w:rPr>
          <w:rFonts w:hint="eastAsia" w:ascii="黑体" w:hAnsi="黑体" w:eastAsia="黑体" w:cs="黑体"/>
          <w:b w:val="0"/>
          <w:bCs w:val="0"/>
          <w:color w:val="auto"/>
          <w:sz w:val="32"/>
          <w:szCs w:val="32"/>
          <w:lang w:val="en-US" w:eastAsia="zh-CN"/>
        </w:rPr>
        <w:t>3.1 场所要求</w:t>
      </w:r>
      <w:bookmarkEnd w:id="4"/>
    </w:p>
    <w:p>
      <w:pPr>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3.1.1 </w:t>
      </w:r>
      <w:r>
        <w:rPr>
          <w:rFonts w:hint="eastAsia" w:ascii="仿宋" w:hAnsi="仿宋" w:eastAsia="仿宋" w:cs="仿宋"/>
          <w:b w:val="0"/>
          <w:bCs w:val="0"/>
          <w:color w:val="auto"/>
          <w:sz w:val="32"/>
          <w:szCs w:val="32"/>
          <w:lang w:val="en-US" w:eastAsia="zh-CN"/>
        </w:rPr>
        <w:t>新建、改建、扩建的民用建筑及工业建筑应建设</w:t>
      </w:r>
      <w:r>
        <w:rPr>
          <w:rFonts w:hint="eastAsia" w:ascii="仿宋" w:hAnsi="仿宋" w:eastAsia="仿宋" w:cs="仿宋"/>
          <w:color w:val="auto"/>
          <w:sz w:val="32"/>
          <w:szCs w:val="32"/>
          <w:lang w:val="en-US" w:eastAsia="zh-CN"/>
        </w:rPr>
        <w:t>电动自行车充电设施，宜将配建</w:t>
      </w:r>
      <w:r>
        <w:rPr>
          <w:rFonts w:hint="eastAsia" w:ascii="仿宋" w:hAnsi="仿宋" w:eastAsia="仿宋" w:cs="仿宋"/>
          <w:b w:val="0"/>
          <w:bCs w:val="0"/>
          <w:color w:val="auto"/>
          <w:sz w:val="32"/>
          <w:szCs w:val="32"/>
          <w:lang w:val="en-US" w:eastAsia="zh-CN"/>
        </w:rPr>
        <w:t>的非机动车库</w:t>
      </w:r>
      <w:r>
        <w:rPr>
          <w:rFonts w:hint="eastAsia" w:ascii="仿宋" w:hAnsi="仿宋" w:eastAsia="仿宋" w:cs="仿宋"/>
          <w:color w:val="auto"/>
          <w:sz w:val="32"/>
          <w:szCs w:val="32"/>
          <w:lang w:val="en-US" w:eastAsia="zh-CN"/>
        </w:rPr>
        <w:t>按电动自行车充电设施进行消防</w:t>
      </w:r>
      <w:r>
        <w:rPr>
          <w:rFonts w:hint="eastAsia" w:ascii="仿宋" w:hAnsi="仿宋" w:eastAsia="仿宋" w:cs="仿宋"/>
          <w:i w:val="0"/>
          <w:iCs w:val="0"/>
          <w:caps w:val="0"/>
          <w:color w:val="auto"/>
          <w:spacing w:val="0"/>
          <w:sz w:val="32"/>
          <w:szCs w:val="32"/>
          <w:shd w:val="clear" w:fill="FFFFFF"/>
          <w:lang w:val="en-US" w:eastAsia="zh-CN"/>
        </w:rPr>
        <w:t>设计、</w:t>
      </w:r>
      <w:r>
        <w:rPr>
          <w:rFonts w:hint="eastAsia" w:ascii="仿宋" w:hAnsi="仿宋" w:eastAsia="仿宋" w:cs="仿宋"/>
          <w:b w:val="0"/>
          <w:bCs w:val="0"/>
          <w:color w:val="auto"/>
          <w:sz w:val="32"/>
          <w:szCs w:val="32"/>
          <w:lang w:val="en-US" w:eastAsia="zh-CN"/>
        </w:rPr>
        <w:t>建设和使用。</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3.1.2 电动自行车充电设施应集中布置，并根据实际使用情况合理配置充电插座数量；住宅小区、公共建筑电动自行车充电车位数量占总非机动车位数量的比例不小于50%。</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3.1.3 电动自行车充电设施宜独立设置，且应满足以下要求：</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设置在室外的，</w:t>
      </w:r>
      <w:r>
        <w:rPr>
          <w:rFonts w:hint="eastAsia" w:ascii="仿宋" w:hAnsi="仿宋" w:eastAsia="仿宋" w:cs="仿宋"/>
          <w:color w:val="auto"/>
          <w:sz w:val="32"/>
          <w:szCs w:val="32"/>
          <w:lang w:eastAsia="zh-CN"/>
        </w:rPr>
        <w:t>与民用建筑之间的防火间距不应小于6m，</w:t>
      </w:r>
      <w:r>
        <w:rPr>
          <w:rFonts w:hint="eastAsia" w:ascii="仿宋" w:hAnsi="仿宋" w:eastAsia="仿宋" w:cs="仿宋"/>
          <w:color w:val="auto"/>
          <w:sz w:val="32"/>
          <w:szCs w:val="32"/>
          <w:lang w:val="en-US" w:eastAsia="zh-CN"/>
        </w:rPr>
        <w:t>且不应影响室外消防设施、疏散通道、救援通道的正常使用；</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当</w:t>
      </w:r>
      <w:r>
        <w:rPr>
          <w:rFonts w:hint="default"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eastAsia="zh-CN"/>
        </w:rPr>
        <w:t>邻的民用建筑外墙为</w:t>
      </w:r>
      <w:r>
        <w:rPr>
          <w:rFonts w:hint="eastAsia" w:ascii="仿宋" w:hAnsi="仿宋" w:eastAsia="仿宋" w:cs="仿宋"/>
          <w:color w:val="auto"/>
          <w:sz w:val="32"/>
          <w:szCs w:val="32"/>
          <w:lang w:eastAsia="zh-CN"/>
        </w:rPr>
        <w:t>耐火极限不低于</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eastAsia="zh-CN"/>
        </w:rPr>
        <w:t>0h</w:t>
      </w:r>
      <w:r>
        <w:rPr>
          <w:rFonts w:hint="eastAsia" w:ascii="仿宋" w:hAnsi="仿宋" w:eastAsia="仿宋" w:cs="仿宋"/>
          <w:color w:val="auto"/>
          <w:sz w:val="32"/>
          <w:szCs w:val="32"/>
          <w:lang w:val="en-US" w:eastAsia="zh-CN"/>
        </w:rPr>
        <w:t>的</w:t>
      </w:r>
      <w:r>
        <w:rPr>
          <w:rFonts w:hint="default" w:ascii="Times New Roman" w:hAnsi="Times New Roman" w:eastAsia="仿宋_GB2312" w:cs="Times New Roman"/>
          <w:color w:val="auto"/>
          <w:sz w:val="32"/>
          <w:szCs w:val="32"/>
          <w:lang w:eastAsia="zh-CN"/>
        </w:rPr>
        <w:t>不燃性实体墙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外墙采用保温系统时应采用</w:t>
      </w:r>
      <w:r>
        <w:rPr>
          <w:rFonts w:hint="eastAsia" w:ascii="仿宋" w:hAnsi="仿宋" w:eastAsia="仿宋" w:cs="仿宋"/>
          <w:color w:val="auto"/>
          <w:sz w:val="32"/>
          <w:szCs w:val="32"/>
          <w:lang w:eastAsia="zh-CN"/>
        </w:rPr>
        <w:t>燃烧性能</w:t>
      </w:r>
      <w:r>
        <w:rPr>
          <w:rFonts w:hint="eastAsia" w:ascii="仿宋" w:hAnsi="仿宋" w:eastAsia="仿宋" w:cs="仿宋"/>
          <w:color w:val="auto"/>
          <w:sz w:val="32"/>
          <w:szCs w:val="32"/>
          <w:lang w:val="en-US" w:eastAsia="zh-CN"/>
        </w:rPr>
        <w:t>为A级</w:t>
      </w:r>
      <w:r>
        <w:rPr>
          <w:rFonts w:hint="eastAsia" w:ascii="仿宋" w:hAnsi="仿宋" w:eastAsia="仿宋" w:cs="仿宋"/>
          <w:color w:val="auto"/>
          <w:sz w:val="32"/>
          <w:szCs w:val="32"/>
          <w:lang w:eastAsia="zh-CN"/>
        </w:rPr>
        <w:t>保温材料），且</w:t>
      </w:r>
      <w:r>
        <w:rPr>
          <w:rFonts w:hint="eastAsia" w:ascii="仿宋" w:hAnsi="仿宋" w:eastAsia="仿宋" w:cs="仿宋"/>
          <w:color w:val="auto"/>
          <w:sz w:val="32"/>
          <w:szCs w:val="32"/>
          <w:lang w:val="en-US" w:eastAsia="zh-CN"/>
        </w:rPr>
        <w:t>与外墙的</w:t>
      </w:r>
      <w:r>
        <w:rPr>
          <w:rFonts w:hint="eastAsia" w:ascii="仿宋" w:hAnsi="仿宋" w:eastAsia="仿宋" w:cs="仿宋"/>
          <w:color w:val="auto"/>
          <w:sz w:val="32"/>
          <w:szCs w:val="32"/>
          <w:lang w:eastAsia="zh-CN"/>
        </w:rPr>
        <w:t>门、窗、洞口</w:t>
      </w:r>
      <w:r>
        <w:rPr>
          <w:rFonts w:hint="eastAsia" w:ascii="仿宋" w:hAnsi="仿宋" w:eastAsia="仿宋" w:cs="仿宋"/>
          <w:color w:val="auto"/>
          <w:sz w:val="32"/>
          <w:szCs w:val="32"/>
          <w:lang w:val="en-US" w:eastAsia="zh-CN"/>
        </w:rPr>
        <w:t>之间最近边缘的水平距离不小于</w:t>
      </w:r>
      <w:r>
        <w:rPr>
          <w:rFonts w:hint="eastAsia" w:ascii="仿宋" w:hAnsi="仿宋" w:eastAsia="仿宋" w:cs="仿宋"/>
          <w:color w:val="auto"/>
          <w:sz w:val="32"/>
          <w:szCs w:val="32"/>
          <w:lang w:eastAsia="zh-CN"/>
        </w:rPr>
        <w:t>4m</w:t>
      </w:r>
      <w:r>
        <w:rPr>
          <w:rFonts w:hint="eastAsia" w:ascii="仿宋" w:hAnsi="仿宋" w:eastAsia="仿宋" w:cs="仿宋"/>
          <w:color w:val="auto"/>
          <w:sz w:val="32"/>
          <w:szCs w:val="32"/>
          <w:lang w:val="en-US" w:eastAsia="zh-CN"/>
        </w:rPr>
        <w:t>时，</w:t>
      </w:r>
      <w:r>
        <w:rPr>
          <w:rFonts w:hint="default" w:ascii="Times New Roman" w:hAnsi="Times New Roman" w:eastAsia="仿宋_GB2312" w:cs="Times New Roman"/>
          <w:color w:val="auto"/>
          <w:sz w:val="32"/>
          <w:szCs w:val="32"/>
          <w:lang w:val="en-US" w:eastAsia="zh-CN"/>
        </w:rPr>
        <w:t>其防火间距不限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但不应与建筑中儿童活动场所、老年人照料设施、医疗建筑中的住院病房、歌舞娱乐放映游艺场所等贴邻设置；</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 不应与甲、乙类厂房、仓库贴邻设置、组合设置或设置在其内部，不应设在甲、乙类物品运输车的汽车库、修车库、停车场内。与甲类厂房、仓库以及甲、乙类物品运输车的汽车库、修车库、停车场</w:t>
      </w:r>
      <w:r>
        <w:rPr>
          <w:rFonts w:hint="eastAsia" w:ascii="仿宋" w:hAnsi="仿宋" w:eastAsia="仿宋" w:cs="仿宋"/>
          <w:color w:val="auto"/>
          <w:sz w:val="32"/>
          <w:szCs w:val="32"/>
          <w:lang w:eastAsia="zh-CN"/>
        </w:rPr>
        <w:t>的防火间距</w:t>
      </w:r>
      <w:r>
        <w:rPr>
          <w:rFonts w:hint="eastAsia" w:ascii="仿宋" w:hAnsi="仿宋" w:eastAsia="仿宋" w:cs="仿宋"/>
          <w:color w:val="auto"/>
          <w:sz w:val="32"/>
          <w:szCs w:val="32"/>
          <w:lang w:val="en-US" w:eastAsia="zh-CN"/>
        </w:rPr>
        <w:t>均</w:t>
      </w:r>
      <w:r>
        <w:rPr>
          <w:rFonts w:hint="eastAsia" w:ascii="仿宋" w:hAnsi="仿宋" w:eastAsia="仿宋" w:cs="仿宋"/>
          <w:color w:val="auto"/>
          <w:sz w:val="32"/>
          <w:szCs w:val="32"/>
          <w:lang w:eastAsia="zh-CN"/>
        </w:rPr>
        <w:t>不应小于</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lang w:eastAsia="zh-CN"/>
        </w:rPr>
        <w:t>m；</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4 </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lang w:val="en-US" w:eastAsia="zh-CN"/>
        </w:rPr>
        <w:t>乙、</w:t>
      </w:r>
      <w:r>
        <w:rPr>
          <w:rFonts w:hint="eastAsia" w:ascii="仿宋" w:hAnsi="仿宋" w:eastAsia="仿宋" w:cs="仿宋"/>
          <w:color w:val="auto"/>
          <w:sz w:val="32"/>
          <w:szCs w:val="32"/>
          <w:lang w:eastAsia="zh-CN"/>
        </w:rPr>
        <w:t>丙、丁、戊类厂房、仓库</w:t>
      </w:r>
      <w:r>
        <w:rPr>
          <w:rFonts w:hint="eastAsia" w:ascii="仿宋" w:hAnsi="仿宋" w:eastAsia="仿宋" w:cs="仿宋"/>
          <w:color w:val="auto"/>
          <w:sz w:val="32"/>
          <w:szCs w:val="32"/>
          <w:lang w:val="en-US" w:eastAsia="zh-CN"/>
        </w:rPr>
        <w:t>以及甲乙丙类液体、气体储罐（区）和可燃材料堆场</w:t>
      </w:r>
      <w:r>
        <w:rPr>
          <w:rFonts w:hint="eastAsia" w:ascii="仿宋" w:hAnsi="仿宋" w:eastAsia="仿宋" w:cs="仿宋"/>
          <w:color w:val="auto"/>
          <w:sz w:val="32"/>
          <w:szCs w:val="32"/>
          <w:lang w:eastAsia="zh-CN"/>
        </w:rPr>
        <w:t>的防火间距</w:t>
      </w:r>
      <w:r>
        <w:rPr>
          <w:rFonts w:hint="eastAsia" w:ascii="仿宋" w:hAnsi="仿宋" w:eastAsia="仿宋" w:cs="仿宋"/>
          <w:color w:val="auto"/>
          <w:sz w:val="32"/>
          <w:szCs w:val="32"/>
          <w:lang w:val="en-US" w:eastAsia="zh-CN"/>
        </w:rPr>
        <w:t>应满足GB50016等现行国家标准的相关规定；</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 当</w:t>
      </w:r>
      <w:r>
        <w:rPr>
          <w:rFonts w:hint="default"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eastAsia="zh-CN"/>
        </w:rPr>
        <w:t>邻的</w:t>
      </w:r>
      <w:r>
        <w:rPr>
          <w:rFonts w:hint="eastAsia" w:ascii="仿宋" w:hAnsi="仿宋" w:eastAsia="仿宋" w:cs="仿宋"/>
          <w:color w:val="auto"/>
          <w:sz w:val="32"/>
          <w:szCs w:val="32"/>
          <w:lang w:eastAsia="zh-CN"/>
        </w:rPr>
        <w:t>丙、丁、戊类厂房、仓库</w:t>
      </w:r>
      <w:r>
        <w:rPr>
          <w:rFonts w:hint="default" w:ascii="Times New Roman" w:hAnsi="Times New Roman" w:eastAsia="仿宋_GB2312" w:cs="Times New Roman"/>
          <w:color w:val="auto"/>
          <w:sz w:val="32"/>
          <w:szCs w:val="32"/>
          <w:lang w:eastAsia="zh-CN"/>
        </w:rPr>
        <w:t>外墙为</w:t>
      </w:r>
      <w:r>
        <w:rPr>
          <w:rFonts w:hint="eastAsia" w:ascii="仿宋" w:hAnsi="仿宋" w:eastAsia="仿宋" w:cs="仿宋"/>
          <w:color w:val="auto"/>
          <w:sz w:val="32"/>
          <w:szCs w:val="32"/>
          <w:lang w:eastAsia="zh-CN"/>
        </w:rPr>
        <w:t>耐火极限不低于</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eastAsia="zh-CN"/>
        </w:rPr>
        <w:t>0h</w:t>
      </w:r>
      <w:r>
        <w:rPr>
          <w:rFonts w:hint="eastAsia" w:ascii="仿宋" w:hAnsi="仿宋" w:eastAsia="仿宋" w:cs="仿宋"/>
          <w:color w:val="auto"/>
          <w:sz w:val="32"/>
          <w:szCs w:val="32"/>
          <w:lang w:val="en-US" w:eastAsia="zh-CN"/>
        </w:rPr>
        <w:t>的</w:t>
      </w:r>
      <w:r>
        <w:rPr>
          <w:rFonts w:hint="default" w:ascii="Times New Roman" w:hAnsi="Times New Roman" w:eastAsia="仿宋_GB2312" w:cs="Times New Roman"/>
          <w:color w:val="auto"/>
          <w:sz w:val="32"/>
          <w:szCs w:val="32"/>
          <w:lang w:eastAsia="zh-CN"/>
        </w:rPr>
        <w:t>不燃性实体墙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外墙采用保温系统时应采用</w:t>
      </w:r>
      <w:r>
        <w:rPr>
          <w:rFonts w:hint="eastAsia" w:ascii="仿宋" w:hAnsi="仿宋" w:eastAsia="仿宋" w:cs="仿宋"/>
          <w:color w:val="auto"/>
          <w:sz w:val="32"/>
          <w:szCs w:val="32"/>
          <w:lang w:eastAsia="zh-CN"/>
        </w:rPr>
        <w:t>燃烧性能</w:t>
      </w:r>
      <w:r>
        <w:rPr>
          <w:rFonts w:hint="eastAsia" w:ascii="仿宋" w:hAnsi="仿宋" w:eastAsia="仿宋" w:cs="仿宋"/>
          <w:color w:val="auto"/>
          <w:sz w:val="32"/>
          <w:szCs w:val="32"/>
          <w:lang w:val="en-US" w:eastAsia="zh-CN"/>
        </w:rPr>
        <w:t>为A级</w:t>
      </w:r>
      <w:r>
        <w:rPr>
          <w:rFonts w:hint="eastAsia" w:ascii="仿宋" w:hAnsi="仿宋" w:eastAsia="仿宋" w:cs="仿宋"/>
          <w:color w:val="auto"/>
          <w:sz w:val="32"/>
          <w:szCs w:val="32"/>
          <w:lang w:eastAsia="zh-CN"/>
        </w:rPr>
        <w:t>保温材料），且</w:t>
      </w:r>
      <w:r>
        <w:rPr>
          <w:rFonts w:hint="eastAsia" w:ascii="仿宋" w:hAnsi="仿宋" w:eastAsia="仿宋" w:cs="仿宋"/>
          <w:color w:val="auto"/>
          <w:sz w:val="32"/>
          <w:szCs w:val="32"/>
          <w:lang w:val="en-US" w:eastAsia="zh-CN"/>
        </w:rPr>
        <w:t>与外墙的</w:t>
      </w:r>
      <w:r>
        <w:rPr>
          <w:rFonts w:hint="eastAsia" w:ascii="仿宋" w:hAnsi="仿宋" w:eastAsia="仿宋" w:cs="仿宋"/>
          <w:color w:val="auto"/>
          <w:sz w:val="32"/>
          <w:szCs w:val="32"/>
          <w:lang w:eastAsia="zh-CN"/>
        </w:rPr>
        <w:t>门、窗、洞口</w:t>
      </w:r>
      <w:r>
        <w:rPr>
          <w:rFonts w:hint="eastAsia" w:ascii="仿宋" w:hAnsi="仿宋" w:eastAsia="仿宋" w:cs="仿宋"/>
          <w:color w:val="auto"/>
          <w:sz w:val="32"/>
          <w:szCs w:val="32"/>
          <w:lang w:val="en-US" w:eastAsia="zh-CN"/>
        </w:rPr>
        <w:t>之间最近边缘的水平距离不小于</w:t>
      </w:r>
      <w:r>
        <w:rPr>
          <w:rFonts w:hint="eastAsia" w:ascii="仿宋" w:hAnsi="仿宋" w:eastAsia="仿宋" w:cs="仿宋"/>
          <w:color w:val="auto"/>
          <w:sz w:val="32"/>
          <w:szCs w:val="32"/>
          <w:lang w:eastAsia="zh-CN"/>
        </w:rPr>
        <w:t>4m</w:t>
      </w:r>
      <w:r>
        <w:rPr>
          <w:rFonts w:hint="eastAsia" w:ascii="仿宋" w:hAnsi="仿宋" w:eastAsia="仿宋" w:cs="仿宋"/>
          <w:color w:val="auto"/>
          <w:sz w:val="32"/>
          <w:szCs w:val="32"/>
          <w:lang w:val="en-US" w:eastAsia="zh-CN"/>
        </w:rPr>
        <w:t>时，</w:t>
      </w:r>
      <w:r>
        <w:rPr>
          <w:rFonts w:hint="default" w:ascii="Times New Roman" w:hAnsi="Times New Roman" w:eastAsia="仿宋_GB2312" w:cs="Times New Roman"/>
          <w:color w:val="auto"/>
          <w:sz w:val="32"/>
          <w:szCs w:val="32"/>
          <w:lang w:val="en-US" w:eastAsia="zh-CN"/>
        </w:rPr>
        <w:t>其防火间距不限</w:t>
      </w:r>
      <w:r>
        <w:rPr>
          <w:rFonts w:hint="eastAsia" w:ascii="仿宋" w:hAnsi="仿宋" w:eastAsia="仿宋" w:cs="仿宋"/>
          <w:color w:val="auto"/>
          <w:sz w:val="32"/>
          <w:szCs w:val="32"/>
          <w:lang w:eastAsia="zh-CN"/>
        </w:rPr>
        <w:t>。</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3.1.4 受场地条件限制等原因，确需设置在建筑内的，应满足以下要求：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应设置在建筑首层、半地下层或地下一层，并宜靠外墙布置，不应设置在负二层及其他建筑楼层；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不应设置在一类高层民用建筑和甲、乙类厂房、仓库的底层（架空层）；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不应影响室内消防设施、安全疏散设施、疏散通道、灭火救援设施的正常使用。</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3.1.5 电动自行车充电设施附近除电动自行车外，不应有其他明显增加火灾荷载的易燃可燃物品，严禁敷设通过燃油、燃气、蒸汽压力管道等易燃可燃易爆管道。</w:t>
      </w:r>
    </w:p>
    <w:p>
      <w:pPr>
        <w:jc w:val="center"/>
        <w:outlineLvl w:val="1"/>
        <w:rPr>
          <w:rFonts w:hint="default" w:ascii="黑体" w:hAnsi="黑体" w:eastAsia="黑体" w:cs="黑体"/>
          <w:b w:val="0"/>
          <w:bCs w:val="0"/>
          <w:color w:val="auto"/>
          <w:sz w:val="32"/>
          <w:szCs w:val="32"/>
          <w:lang w:val="en-US" w:eastAsia="zh-CN"/>
        </w:rPr>
      </w:pPr>
      <w:bookmarkStart w:id="5" w:name="_Toc10306"/>
      <w:r>
        <w:rPr>
          <w:rFonts w:hint="eastAsia" w:ascii="黑体" w:hAnsi="黑体" w:eastAsia="黑体" w:cs="黑体"/>
          <w:b w:val="0"/>
          <w:bCs w:val="0"/>
          <w:color w:val="auto"/>
          <w:sz w:val="32"/>
          <w:szCs w:val="32"/>
          <w:lang w:val="en-US" w:eastAsia="zh-CN"/>
        </w:rPr>
        <w:t>3.2 建筑防火</w:t>
      </w:r>
      <w:bookmarkEnd w:id="5"/>
    </w:p>
    <w:p>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3.2.1 设置在地面建筑或独立建造的非机动车车库内时，每个防火分区最大允许建筑面积不大于1000㎡；设置在地下或半地下的建筑内时，每个防火分区最大允许建筑面积不大于500㎡。</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lang w:eastAsia="zh-CN"/>
        </w:rPr>
        <w:t>内设置自动灭火系统时，每个防火分区的最大允许建筑面积</w:t>
      </w:r>
      <w:r>
        <w:rPr>
          <w:rFonts w:hint="default" w:ascii="仿宋" w:hAnsi="仿宋" w:eastAsia="仿宋" w:cs="仿宋"/>
          <w:color w:val="auto"/>
          <w:sz w:val="32"/>
          <w:szCs w:val="32"/>
          <w:lang w:val="en-US" w:eastAsia="zh-CN"/>
        </w:rPr>
        <w:t>可</w:t>
      </w:r>
      <w:r>
        <w:rPr>
          <w:rFonts w:hint="eastAsia" w:ascii="仿宋" w:hAnsi="仿宋" w:eastAsia="仿宋" w:cs="仿宋"/>
          <w:color w:val="auto"/>
          <w:sz w:val="32"/>
          <w:szCs w:val="32"/>
          <w:lang w:val="en-US" w:eastAsia="zh-CN"/>
        </w:rPr>
        <w:t>按上述面积要求</w:t>
      </w:r>
      <w:r>
        <w:rPr>
          <w:rFonts w:hint="default" w:ascii="仿宋" w:hAnsi="仿宋" w:eastAsia="仿宋" w:cs="仿宋"/>
          <w:color w:val="auto"/>
          <w:sz w:val="32"/>
          <w:szCs w:val="32"/>
          <w:lang w:val="en-US" w:eastAsia="zh-CN"/>
        </w:rPr>
        <w:t>增加1.0倍；局部设置时，防火分区</w:t>
      </w:r>
      <w:r>
        <w:rPr>
          <w:rFonts w:hint="eastAsia" w:ascii="仿宋" w:hAnsi="仿宋" w:eastAsia="仿宋" w:cs="仿宋"/>
          <w:color w:val="auto"/>
          <w:sz w:val="32"/>
          <w:szCs w:val="32"/>
          <w:lang w:val="en-US" w:eastAsia="zh-CN"/>
        </w:rPr>
        <w:t>的增加</w:t>
      </w:r>
      <w:r>
        <w:rPr>
          <w:rFonts w:hint="default" w:ascii="仿宋" w:hAnsi="仿宋" w:eastAsia="仿宋" w:cs="仿宋"/>
          <w:color w:val="auto"/>
          <w:sz w:val="32"/>
          <w:szCs w:val="32"/>
          <w:lang w:val="en-US" w:eastAsia="zh-CN"/>
        </w:rPr>
        <w:t>建筑面积可</w:t>
      </w:r>
      <w:r>
        <w:rPr>
          <w:rFonts w:hint="eastAsia" w:ascii="仿宋" w:hAnsi="仿宋" w:eastAsia="仿宋" w:cs="仿宋"/>
          <w:color w:val="auto"/>
          <w:sz w:val="32"/>
          <w:szCs w:val="32"/>
          <w:lang w:val="en-US" w:eastAsia="zh-CN"/>
        </w:rPr>
        <w:t>按该</w:t>
      </w:r>
      <w:r>
        <w:rPr>
          <w:rFonts w:hint="default" w:ascii="仿宋" w:hAnsi="仿宋" w:eastAsia="仿宋" w:cs="仿宋"/>
          <w:color w:val="auto"/>
          <w:sz w:val="32"/>
          <w:szCs w:val="32"/>
          <w:lang w:val="en-US" w:eastAsia="zh-CN"/>
        </w:rPr>
        <w:t>局部</w:t>
      </w:r>
      <w:r>
        <w:rPr>
          <w:rFonts w:hint="eastAsia" w:ascii="仿宋" w:hAnsi="仿宋" w:eastAsia="仿宋" w:cs="仿宋"/>
          <w:color w:val="auto"/>
          <w:sz w:val="32"/>
          <w:szCs w:val="32"/>
          <w:lang w:val="en-US" w:eastAsia="zh-CN"/>
        </w:rPr>
        <w:t>面积</w:t>
      </w:r>
      <w:r>
        <w:rPr>
          <w:rFonts w:hint="default" w:ascii="仿宋" w:hAnsi="仿宋" w:eastAsia="仿宋" w:cs="仿宋"/>
          <w:color w:val="auto"/>
          <w:sz w:val="32"/>
          <w:szCs w:val="32"/>
          <w:lang w:val="en-US" w:eastAsia="zh-CN"/>
        </w:rPr>
        <w:t>1.0倍</w:t>
      </w:r>
      <w:r>
        <w:rPr>
          <w:rFonts w:hint="eastAsia" w:ascii="仿宋" w:hAnsi="仿宋" w:eastAsia="仿宋" w:cs="仿宋"/>
          <w:color w:val="auto"/>
          <w:sz w:val="32"/>
          <w:szCs w:val="32"/>
          <w:lang w:val="en-US" w:eastAsia="zh-CN"/>
        </w:rPr>
        <w:t>计算。</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3.2.2 设置在建筑内时，地面建筑的耐火等级不应低于二级，地下、半地下建筑的耐火等级不应低于一级，其构件的燃烧性能和耐火极限均不应低于现行国家标准GB50016的相关规定。</w:t>
      </w:r>
    </w:p>
    <w:p>
      <w:pPr>
        <w:numPr>
          <w:ilvl w:val="0"/>
          <w:numId w:val="0"/>
        </w:num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3.2.3 设置在建筑内时，与同一防火分区的其他不同使用功能区域之间应采用耐火极限不低于2.00h的防火隔墙分隔，墙上的门窗应采用甲级防火门、窗。</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3.2.4 设置在除3.1.4条要求的其他建筑物底层（架空层）时，应满足以下要求：</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不应影响公共门厅、疏散走道、楼梯间、安全出口的疏散使用；</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上部建筑的</w:t>
      </w:r>
      <w:r>
        <w:rPr>
          <w:rFonts w:hint="default" w:ascii="仿宋" w:hAnsi="仿宋" w:eastAsia="仿宋" w:cs="仿宋"/>
          <w:color w:val="auto"/>
          <w:sz w:val="32"/>
          <w:szCs w:val="32"/>
          <w:lang w:val="en-US" w:eastAsia="zh-CN"/>
        </w:rPr>
        <w:t>安全出口</w:t>
      </w:r>
      <w:r>
        <w:rPr>
          <w:rFonts w:hint="eastAsia" w:ascii="仿宋" w:hAnsi="仿宋" w:eastAsia="仿宋" w:cs="仿宋"/>
          <w:color w:val="auto"/>
          <w:sz w:val="32"/>
          <w:szCs w:val="32"/>
          <w:lang w:val="en-US" w:eastAsia="zh-CN"/>
        </w:rPr>
        <w:t>和</w:t>
      </w:r>
      <w:r>
        <w:rPr>
          <w:rFonts w:hint="default" w:ascii="仿宋" w:hAnsi="仿宋" w:eastAsia="仿宋" w:cs="仿宋"/>
          <w:color w:val="auto"/>
          <w:sz w:val="32"/>
          <w:szCs w:val="32"/>
          <w:lang w:val="en-US" w:eastAsia="zh-CN"/>
        </w:rPr>
        <w:t>疏散楼梯应独立设置</w:t>
      </w:r>
      <w:r>
        <w:rPr>
          <w:rFonts w:hint="eastAsia" w:ascii="仿宋" w:hAnsi="仿宋" w:eastAsia="仿宋" w:cs="仿宋"/>
          <w:color w:val="auto"/>
          <w:sz w:val="32"/>
          <w:szCs w:val="32"/>
          <w:lang w:val="en-US" w:eastAsia="zh-CN"/>
        </w:rPr>
        <w:t>，且采用不小于2.00h耐火极限的防火隔墙与底层（架空层）电动自行车充电设施区域隔开（防火隔墙上必须设门时，应采用甲级防火门），直通室外的安全出口与两侧其他门、窗、开口的净距不应小于2.0m；</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应当设置耐火极限不小于2.00h楼板和上部建筑进行分隔，底层（架空层）的外墙开口</w:t>
      </w:r>
      <w:r>
        <w:rPr>
          <w:rFonts w:hint="default" w:ascii="Times New Roman" w:hAnsi="Times New Roman" w:eastAsia="仿宋_GB2312" w:cs="Times New Roman"/>
          <w:color w:val="auto"/>
          <w:sz w:val="32"/>
          <w:szCs w:val="32"/>
          <w:lang w:val="en-US" w:eastAsia="zh-CN"/>
        </w:rPr>
        <w:t>与上层门、窗洞口之间</w:t>
      </w:r>
      <w:r>
        <w:rPr>
          <w:rFonts w:hint="default" w:ascii="Times New Roman" w:hAnsi="Times New Roman" w:eastAsia="仿宋_GB2312" w:cs="Times New Roman"/>
          <w:color w:val="auto"/>
          <w:sz w:val="32"/>
          <w:szCs w:val="32"/>
          <w:u w:val="none"/>
          <w:lang w:val="en-US" w:eastAsia="zh-CN"/>
        </w:rPr>
        <w:t>应设置高度不小于1.2m的实体墙或挑出宽度不小于1.0m、长度不小于开口宽度的防火挑檐；当室内设置自动喷水灭火系统时，上、下层开口之间的实体墙高度不应小于0.8m</w:t>
      </w:r>
      <w:r>
        <w:rPr>
          <w:rFonts w:hint="eastAsia" w:ascii="Times New Roman" w:hAnsi="Times New Roman" w:eastAsia="仿宋_GB2312" w:cs="Times New Roman"/>
          <w:color w:val="auto"/>
          <w:sz w:val="32"/>
          <w:szCs w:val="32"/>
          <w:u w:val="none"/>
          <w:lang w:val="en-US" w:eastAsia="zh-CN"/>
        </w:rPr>
        <w:t>。实体墙、防火挑檐的耐火极限和燃烧性能，均不应低于相应耐火等级外墙的要求。</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3.2.5 电动自行车充电设施的围护材料、内部构件及墙面、顶棚等装修材料均应采用燃烧性能A级的材料，地面装修材料应采用不低于B1级的材料，但设置在底层（架空层）时地面装修材料应采用燃烧性能A级的材料。</w:t>
      </w:r>
    </w:p>
    <w:p>
      <w:pPr>
        <w:jc w:val="center"/>
        <w:outlineLvl w:val="1"/>
        <w:rPr>
          <w:rFonts w:hint="default" w:ascii="黑体" w:hAnsi="黑体" w:eastAsia="黑体" w:cs="黑体"/>
          <w:b w:val="0"/>
          <w:bCs w:val="0"/>
          <w:color w:val="auto"/>
          <w:sz w:val="32"/>
          <w:szCs w:val="32"/>
          <w:lang w:val="en-US" w:eastAsia="zh-CN"/>
        </w:rPr>
      </w:pPr>
      <w:bookmarkStart w:id="6" w:name="_Toc29060"/>
      <w:r>
        <w:rPr>
          <w:rFonts w:hint="eastAsia" w:ascii="黑体" w:hAnsi="黑体" w:eastAsia="黑体" w:cs="黑体"/>
          <w:b w:val="0"/>
          <w:bCs w:val="0"/>
          <w:color w:val="auto"/>
          <w:sz w:val="32"/>
          <w:szCs w:val="32"/>
          <w:lang w:val="en-US" w:eastAsia="zh-CN"/>
        </w:rPr>
        <w:t>3.3 安全疏散</w:t>
      </w:r>
      <w:bookmarkEnd w:id="6"/>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3.3.1 疏散出口应</w:t>
      </w:r>
      <w:r>
        <w:rPr>
          <w:rFonts w:hint="eastAsia" w:ascii="仿宋" w:hAnsi="仿宋" w:eastAsia="仿宋" w:cs="仿宋"/>
          <w:color w:val="auto"/>
          <w:sz w:val="32"/>
          <w:szCs w:val="32"/>
          <w:lang w:val="en-US" w:eastAsia="zh-CN"/>
        </w:rPr>
        <w:t>按现行国家标准GB55037和GB50016中有关公共建筑的规定设置</w:t>
      </w:r>
      <w:r>
        <w:rPr>
          <w:rFonts w:hint="eastAsia" w:ascii="仿宋" w:hAnsi="仿宋" w:eastAsia="仿宋" w:cs="仿宋"/>
          <w:color w:val="auto"/>
          <w:kern w:val="2"/>
          <w:sz w:val="32"/>
          <w:szCs w:val="32"/>
          <w:lang w:val="en-US" w:eastAsia="zh-CN" w:bidi="ar-SA"/>
        </w:rPr>
        <w:t>。电动自行车库的车辆出口可兼做人员疏散出口。地下电动自行车库的车辆出口兼做疏散出口时，除直通室外的车辆出口外，其余兼做疏散出口的车辆出口应在出口部位设置乙级防火门；</w:t>
      </w:r>
      <w:r>
        <w:rPr>
          <w:rFonts w:hint="eastAsia" w:ascii="仿宋" w:hAnsi="仿宋" w:eastAsia="仿宋" w:cs="仿宋"/>
          <w:color w:val="auto"/>
          <w:sz w:val="32"/>
          <w:szCs w:val="32"/>
          <w:lang w:val="en-US" w:eastAsia="zh-CN"/>
        </w:rPr>
        <w:t>车辆疏散出口净宽不应小于1.8m。</w:t>
      </w:r>
    </w:p>
    <w:p>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3.3.2 车位应分组设置，每组长度应不大于20m，相邻组与组之间均应设置有一面高度不小于1.5m、宽度不小于1.2m且耐火极限不小于1.50h的实体隔墙分隔，隔墙应从地面基层开始设置；隔墙设置存在困难的，组与组之间应保持不少于2.0m的通道分隔。</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3.3.3 设置在架空层时，应满足以下要求：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当停车位数量大于200辆时，其供人员和车辆进出的出入口应不少于2个，2个出入口之间最近边缘的水平距离不应小于5米。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每组停车数量不应超过20辆，应划线规范停车位置，每辆电动自行车停放面积应合理规划满足停放需要，充电部位应张贴、悬挂安全警示标志。</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3.3.4 沿通道双面布置停车位时，疏散通道的净宽度不应小于2.0m，沿通道单面布置停车位时，疏散通道的净宽度不应小于1.5m。每个车位均应设置明显的标识界限，每个车位大小不小于2.2m</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0.8m，车位的净高度不小于2.0m。</w:t>
      </w:r>
    </w:p>
    <w:p>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3.3.5当疏散门为安全出口或通向连接安全出口的专用疏散走道（走道长度不大于10m）时，其疏散距离应按照室内最远一点至最近疏散出口的直线距离确定，且不应大于30m；当建筑内全部设置自动喷水灭火系统时，该疏散距离可以增加25%。</w:t>
      </w:r>
    </w:p>
    <w:p>
      <w:pPr>
        <w:jc w:val="center"/>
        <w:outlineLvl w:val="1"/>
        <w:rPr>
          <w:rFonts w:hint="default" w:ascii="仿宋" w:hAnsi="仿宋" w:eastAsia="仿宋" w:cs="仿宋"/>
          <w:color w:val="auto"/>
          <w:kern w:val="2"/>
          <w:sz w:val="32"/>
          <w:szCs w:val="32"/>
          <w:lang w:val="en-US" w:eastAsia="zh-CN" w:bidi="ar-SA"/>
        </w:rPr>
      </w:pPr>
      <w:bookmarkStart w:id="7" w:name="_Toc24477"/>
      <w:r>
        <w:rPr>
          <w:rFonts w:hint="eastAsia" w:ascii="黑体" w:hAnsi="黑体" w:eastAsia="黑体" w:cs="黑体"/>
          <w:b w:val="0"/>
          <w:bCs w:val="0"/>
          <w:color w:val="auto"/>
          <w:sz w:val="32"/>
          <w:szCs w:val="32"/>
          <w:lang w:val="en-US" w:eastAsia="zh-CN"/>
        </w:rPr>
        <w:t>3.4 消防设施器材</w:t>
      </w:r>
      <w:bookmarkEnd w:id="7"/>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3.4.1 应设置室外消火栓系统，在市政消火栓或消防水源保护半径150m范围内的，可不设置室外消火栓系统。</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3.4.2 应设置自动灭火系统，可按中危险Ⅱ级设置自动喷水灭火系统，喷头应采用快速响应喷头，并设置火灾自动报警系统；如建筑按国家工程建设消防技术标准和规范要求属于可不设置自动灭火系统情形的，且设置自动喷水灭火系统确有困难的，应设置自动喷水灭火局部应用系统（其用水量可不计入消防用水总量），局部应用系统设置按现行国家标准GB50084执行。</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3.4.3 建筑面积大于300㎡的电动自行车充电设施，应设置室内消火栓系统，消火栓水枪的充实水柱不应小于10m，同层相邻的消火栓间距不应大于30m，应保证消火栓水枪的两股充实水柱能够到达保护范围内的任何部位。其他未设置室内消火栓系统的，应设置消防软管卷盘或轻便消防水龙。</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3.4.4 应设置排烟设施，排烟设施的设置应符合现行国家标准GB51251规定。在架空层设置时，电动自行车充电设施所在区域进行防火分隔时，面向室外的架空区域不得封闭，以满足通风排烟需要。</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3.4.5 宜采用自然通风方式，当采用机械通风，每小时通风换气次数不应小于4次。</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3.4.6 应设置火灾自动报警系统，如未设置火灾自动报警系统，应设置具有声光报警功能的独立式感烟火灾探测报警器。</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3.4.7 应按民用建筑灭火器配置场所的严重危险级要求配置适用于扑救A、B、C、E类火灾的灭火器，并宜选用手提式水基型灭火器或推车式水基型灭火器，每50 ㎡应配置不少于1具9L的水基型灭火器。灭火设施应设置在位置明显、便于取用的部位，</w:t>
      </w:r>
      <w:r>
        <w:rPr>
          <w:rFonts w:hint="default" w:ascii="Times New Roman" w:hAnsi="Times New Roman" w:eastAsia="仿宋_GB2312" w:cs="Times New Roman"/>
          <w:color w:val="auto"/>
          <w:sz w:val="32"/>
          <w:szCs w:val="32"/>
          <w:u w:val="none"/>
          <w:lang w:val="en-US" w:eastAsia="zh-CN"/>
        </w:rPr>
        <w:t>一个计算单元内配置的灭火器数量不得少于2具，每个设置点的灭火器数量不宜多于5具，</w:t>
      </w:r>
      <w:r>
        <w:rPr>
          <w:rFonts w:hint="eastAsia" w:ascii="仿宋" w:hAnsi="仿宋" w:eastAsia="仿宋" w:cs="仿宋"/>
          <w:color w:val="auto"/>
          <w:sz w:val="32"/>
          <w:szCs w:val="32"/>
          <w:lang w:val="en-US" w:eastAsia="zh-CN"/>
        </w:rPr>
        <w:t>且不得影响安全疏散。</w:t>
      </w:r>
    </w:p>
    <w:p>
      <w:pPr>
        <w:jc w:val="center"/>
        <w:outlineLvl w:val="1"/>
        <w:rPr>
          <w:rFonts w:hint="default" w:ascii="仿宋" w:hAnsi="仿宋" w:eastAsia="仿宋" w:cs="仿宋"/>
          <w:color w:val="auto"/>
          <w:kern w:val="2"/>
          <w:sz w:val="32"/>
          <w:szCs w:val="32"/>
          <w:lang w:val="en-US" w:eastAsia="zh-CN" w:bidi="ar-SA"/>
        </w:rPr>
      </w:pPr>
      <w:bookmarkStart w:id="8" w:name="_Toc20960"/>
      <w:r>
        <w:rPr>
          <w:rFonts w:hint="eastAsia" w:ascii="黑体" w:hAnsi="黑体" w:eastAsia="黑体" w:cs="黑体"/>
          <w:b w:val="0"/>
          <w:bCs w:val="0"/>
          <w:color w:val="auto"/>
          <w:sz w:val="32"/>
          <w:szCs w:val="32"/>
          <w:lang w:val="en-US" w:eastAsia="zh-CN"/>
        </w:rPr>
        <w:t>3.5 电气</w:t>
      </w:r>
      <w:bookmarkEnd w:id="8"/>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3.5.1 应采用阻燃电线电缆，明敷时应采用无卤低烟低毒阻燃铜芯绝缘电线电缆；配电线路不应直敷布线，应穿金属导管（槽）敷设，如需从地面穿过应埋地布置。</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3.5.2 </w:t>
      </w:r>
      <w:r>
        <w:rPr>
          <w:rFonts w:hint="default" w:ascii="仿宋" w:hAnsi="仿宋" w:eastAsia="仿宋" w:cs="仿宋"/>
          <w:color w:val="auto"/>
          <w:sz w:val="32"/>
          <w:szCs w:val="32"/>
          <w:lang w:val="en-US" w:eastAsia="zh-CN"/>
        </w:rPr>
        <w:t>电动自行车的充电设备应设置专用配电箱，其配电线路应符合下列规定：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 </w:t>
      </w:r>
      <w:r>
        <w:rPr>
          <w:rFonts w:hint="default" w:ascii="仿宋" w:hAnsi="仿宋" w:eastAsia="仿宋" w:cs="仿宋"/>
          <w:color w:val="auto"/>
          <w:sz w:val="32"/>
          <w:szCs w:val="32"/>
          <w:lang w:val="en-US" w:eastAsia="zh-CN"/>
        </w:rPr>
        <w:t>每一分支回路连接的充电插座不应超10个，插座宜布置在干燥，便于操作的场所，并满足安装场所相应的防护等级要求；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 </w:t>
      </w:r>
      <w:r>
        <w:rPr>
          <w:rFonts w:hint="default" w:ascii="仿宋" w:hAnsi="仿宋" w:eastAsia="仿宋" w:cs="仿宋"/>
          <w:color w:val="auto"/>
          <w:sz w:val="32"/>
          <w:szCs w:val="32"/>
          <w:lang w:val="en-US" w:eastAsia="zh-CN"/>
        </w:rPr>
        <w:t>应具备过载保护、短路保护、故障电弧保护和剩余电流动作保护功能，剩余电流动作保护器额定剩余动作电流不超过30mA。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3.5.3 </w:t>
      </w:r>
      <w:r>
        <w:rPr>
          <w:rFonts w:hint="default" w:ascii="仿宋" w:hAnsi="仿宋" w:eastAsia="仿宋" w:cs="仿宋"/>
          <w:color w:val="auto"/>
          <w:sz w:val="32"/>
          <w:szCs w:val="32"/>
          <w:lang w:val="en-US" w:eastAsia="zh-CN"/>
        </w:rPr>
        <w:t>应采用专用充电设备，并应具备防过充自动断电、定时断电、充电故障自动断电、</w:t>
      </w:r>
      <w:r>
        <w:rPr>
          <w:rFonts w:hint="default" w:ascii="Times New Roman" w:hAnsi="Times New Roman" w:eastAsia="仿宋_GB2312" w:cs="Times New Roman"/>
          <w:b w:val="0"/>
          <w:bCs/>
          <w:color w:val="auto"/>
          <w:sz w:val="32"/>
          <w:szCs w:val="32"/>
        </w:rPr>
        <w:t>过载保护、短路保护、漏电保护</w:t>
      </w:r>
      <w:r>
        <w:rPr>
          <w:rFonts w:hint="default" w:ascii="仿宋" w:hAnsi="仿宋" w:eastAsia="仿宋" w:cs="仿宋"/>
          <w:color w:val="auto"/>
          <w:sz w:val="32"/>
          <w:szCs w:val="32"/>
          <w:lang w:val="en-US" w:eastAsia="zh-CN"/>
        </w:rPr>
        <w:t>等功能以及充电故障报警、功率监测、高温报警等功能。</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3.5.4 在半地下层或地下一层设置的，应设置</w:t>
      </w:r>
      <w:r>
        <w:rPr>
          <w:rFonts w:hint="eastAsia" w:ascii="仿宋" w:hAnsi="仿宋" w:eastAsia="仿宋" w:cs="仿宋"/>
          <w:color w:val="auto"/>
          <w:sz w:val="32"/>
          <w:szCs w:val="32"/>
        </w:rPr>
        <w:t>消防应急照明和疏散指示</w:t>
      </w:r>
      <w:r>
        <w:rPr>
          <w:rFonts w:hint="eastAsia" w:ascii="仿宋" w:hAnsi="仿宋" w:eastAsia="仿宋" w:cs="仿宋"/>
          <w:color w:val="auto"/>
          <w:sz w:val="32"/>
          <w:szCs w:val="32"/>
          <w:lang w:val="en-US" w:eastAsia="zh-CN"/>
        </w:rPr>
        <w:t>系统。</w:t>
      </w:r>
    </w:p>
    <w:p>
      <w:pPr>
        <w:jc w:val="center"/>
        <w:outlineLvl w:val="1"/>
        <w:rPr>
          <w:rFonts w:hint="eastAsia" w:ascii="黑体" w:hAnsi="黑体" w:eastAsia="黑体" w:cs="黑体"/>
          <w:b w:val="0"/>
          <w:bCs w:val="0"/>
          <w:color w:val="auto"/>
          <w:sz w:val="32"/>
          <w:szCs w:val="32"/>
          <w:lang w:val="en-US" w:eastAsia="zh-CN"/>
        </w:rPr>
      </w:pPr>
      <w:bookmarkStart w:id="9" w:name="_Toc14049"/>
      <w:r>
        <w:rPr>
          <w:rFonts w:hint="eastAsia" w:ascii="黑体" w:hAnsi="黑体" w:eastAsia="黑体" w:cs="黑体"/>
          <w:b w:val="0"/>
          <w:bCs w:val="0"/>
          <w:color w:val="auto"/>
          <w:sz w:val="32"/>
          <w:szCs w:val="32"/>
          <w:lang w:val="en-US" w:eastAsia="zh-CN"/>
        </w:rPr>
        <w:t>3.6 安全管理</w:t>
      </w:r>
      <w:bookmarkEnd w:id="9"/>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3.6.1 超过20辆的电动自行车</w:t>
      </w:r>
      <w:r>
        <w:rPr>
          <w:rFonts w:hint="default" w:ascii="仿宋" w:hAnsi="仿宋" w:eastAsia="仿宋" w:cs="仿宋"/>
          <w:color w:val="auto"/>
          <w:sz w:val="32"/>
          <w:szCs w:val="32"/>
          <w:lang w:val="en-US" w:eastAsia="zh-CN"/>
        </w:rPr>
        <w:t>充电设施</w:t>
      </w:r>
      <w:r>
        <w:rPr>
          <w:rFonts w:hint="eastAsia" w:ascii="仿宋" w:hAnsi="仿宋" w:eastAsia="仿宋" w:cs="仿宋"/>
          <w:color w:val="auto"/>
          <w:sz w:val="32"/>
          <w:szCs w:val="32"/>
          <w:lang w:val="en-US" w:eastAsia="zh-CN"/>
        </w:rPr>
        <w:t>应安装24h视频监视系统，监视图像应能在控制室或值班室等的系统平台实时显示，火灾自动报警后可联动视频监视系统的监视画面至报警区域，并发出报警声音提示，让控制室或值班室人员可以及时确认现场情况。</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3.6.2 设置在架空层时，应全域设置视频监控系统，有条件的可设置具备火焰识别功能的视频监控系统，视频监控信号应实施上传至消防控制室或者有人值守的值班室。</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3.6.3 电动自行车</w:t>
      </w:r>
      <w:r>
        <w:rPr>
          <w:rFonts w:hint="default" w:ascii="仿宋" w:hAnsi="仿宋" w:eastAsia="仿宋" w:cs="仿宋"/>
          <w:color w:val="auto"/>
          <w:sz w:val="32"/>
          <w:szCs w:val="32"/>
          <w:lang w:val="en-US" w:eastAsia="zh-CN"/>
        </w:rPr>
        <w:t>充电设施建设运营</w:t>
      </w:r>
      <w:r>
        <w:rPr>
          <w:rFonts w:hint="eastAsia" w:ascii="仿宋" w:hAnsi="仿宋" w:eastAsia="仿宋" w:cs="仿宋"/>
          <w:color w:val="auto"/>
          <w:sz w:val="32"/>
          <w:szCs w:val="32"/>
          <w:lang w:val="en-US" w:eastAsia="zh-CN"/>
        </w:rPr>
        <w:t>管理</w:t>
      </w:r>
      <w:r>
        <w:rPr>
          <w:rFonts w:hint="default" w:ascii="仿宋" w:hAnsi="仿宋" w:eastAsia="仿宋" w:cs="仿宋"/>
          <w:color w:val="auto"/>
          <w:sz w:val="32"/>
          <w:szCs w:val="32"/>
          <w:lang w:val="en-US" w:eastAsia="zh-CN"/>
        </w:rPr>
        <w:t>单位</w:t>
      </w:r>
      <w:r>
        <w:rPr>
          <w:rFonts w:hint="eastAsia" w:ascii="仿宋" w:hAnsi="仿宋" w:eastAsia="仿宋" w:cs="仿宋"/>
          <w:color w:val="auto"/>
          <w:sz w:val="32"/>
          <w:szCs w:val="32"/>
          <w:lang w:val="en-US" w:eastAsia="zh-CN"/>
        </w:rPr>
        <w:t>宜</w:t>
      </w:r>
      <w:r>
        <w:rPr>
          <w:rFonts w:hint="default" w:ascii="仿宋" w:hAnsi="仿宋" w:eastAsia="仿宋" w:cs="仿宋"/>
          <w:color w:val="auto"/>
          <w:sz w:val="32"/>
          <w:szCs w:val="32"/>
          <w:lang w:val="en-US" w:eastAsia="zh-CN"/>
        </w:rPr>
        <w:t>建立数据平台，确保能及时掌握充电设施总体状态并提供相关数据。</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3.6.4 </w:t>
      </w:r>
      <w:r>
        <w:rPr>
          <w:rFonts w:hint="default" w:ascii="仿宋" w:hAnsi="仿宋" w:eastAsia="仿宋" w:cs="仿宋"/>
          <w:color w:val="auto"/>
          <w:sz w:val="32"/>
          <w:szCs w:val="32"/>
          <w:lang w:val="en-US" w:eastAsia="zh-CN"/>
        </w:rPr>
        <w:t>电动自行车充电设施运营</w:t>
      </w:r>
      <w:r>
        <w:rPr>
          <w:rFonts w:hint="eastAsia" w:ascii="仿宋" w:hAnsi="仿宋" w:eastAsia="仿宋" w:cs="仿宋"/>
          <w:color w:val="auto"/>
          <w:sz w:val="32"/>
          <w:szCs w:val="32"/>
          <w:lang w:val="en-US" w:eastAsia="zh-CN"/>
        </w:rPr>
        <w:t>管理</w:t>
      </w:r>
      <w:r>
        <w:rPr>
          <w:rFonts w:hint="default" w:ascii="仿宋" w:hAnsi="仿宋" w:eastAsia="仿宋" w:cs="仿宋"/>
          <w:color w:val="auto"/>
          <w:sz w:val="32"/>
          <w:szCs w:val="32"/>
          <w:lang w:val="en-US" w:eastAsia="zh-CN"/>
        </w:rPr>
        <w:t>单位应建立日常消防安全管理和防火巡查制度，明确专人负责，对充电设施及消防设施和器材、消防安全标志等进行统一管理，定期组织开展防火巡查和防火检查，并加强夜间防火巡查；防火检查和巡查应如实记录，发现火灾隐患应及时消除。</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3.6.5 电动自行车</w:t>
      </w:r>
      <w:r>
        <w:rPr>
          <w:rFonts w:hint="default" w:ascii="仿宋" w:hAnsi="仿宋" w:eastAsia="仿宋" w:cs="仿宋"/>
          <w:color w:val="auto"/>
          <w:sz w:val="32"/>
          <w:szCs w:val="32"/>
          <w:lang w:val="en-US" w:eastAsia="zh-CN"/>
        </w:rPr>
        <w:t>充电设施</w:t>
      </w:r>
      <w:r>
        <w:rPr>
          <w:rFonts w:hint="eastAsia" w:ascii="仿宋" w:hAnsi="仿宋" w:eastAsia="仿宋" w:cs="仿宋"/>
          <w:color w:val="auto"/>
          <w:sz w:val="32"/>
          <w:szCs w:val="32"/>
          <w:lang w:val="en-US" w:eastAsia="zh-CN"/>
        </w:rPr>
        <w:t>的运营管理单位应采取设置宣传栏、张贴宣传海报、定期发送宣传提示信息、组织电动自行车火灾现场警示教育、开展专题培训等方式，每半年至少开展1次电动自行车火灾防范的消防宣传教育工作，消防安全宣传教育应至少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 </w:t>
      </w:r>
      <w:r>
        <w:rPr>
          <w:rFonts w:hint="default" w:ascii="仿宋" w:hAnsi="仿宋" w:eastAsia="仿宋" w:cs="仿宋"/>
          <w:color w:val="auto"/>
          <w:sz w:val="32"/>
          <w:szCs w:val="32"/>
          <w:lang w:val="en-US" w:eastAsia="zh-CN"/>
        </w:rPr>
        <w:t>电动自行车应在指定场所内停放、充电；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 </w:t>
      </w:r>
      <w:r>
        <w:rPr>
          <w:rFonts w:hint="default" w:ascii="仿宋" w:hAnsi="仿宋" w:eastAsia="仿宋" w:cs="仿宋"/>
          <w:color w:val="auto"/>
          <w:sz w:val="32"/>
          <w:szCs w:val="32"/>
          <w:lang w:val="en-US" w:eastAsia="zh-CN"/>
        </w:rPr>
        <w:t>不得停放在疏散楼梯间、前室、疏散走道、安全出口等影响人员疏散的部位；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不得占用消防车道；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 不得乱拉乱接充电线路，不得“飞线充电”；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 不得违规改装电动自行车和使用不合格的电池、充电设备；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 电动自行车初起火灾处置及逃生方法。</w:t>
      </w:r>
    </w:p>
    <w:p>
      <w:pPr>
        <w:jc w:val="center"/>
        <w:outlineLvl w:val="1"/>
        <w:rPr>
          <w:rFonts w:hint="default" w:ascii="仿宋" w:hAnsi="仿宋" w:eastAsia="仿宋" w:cs="仿宋"/>
          <w:color w:val="auto"/>
          <w:kern w:val="2"/>
          <w:sz w:val="32"/>
          <w:szCs w:val="32"/>
          <w:lang w:val="en-US" w:eastAsia="zh-CN" w:bidi="ar-SA"/>
        </w:rPr>
      </w:pPr>
      <w:bookmarkStart w:id="10" w:name="_Toc16440"/>
      <w:r>
        <w:rPr>
          <w:rFonts w:hint="eastAsia" w:ascii="黑体" w:hAnsi="黑体" w:eastAsia="黑体" w:cs="黑体"/>
          <w:b w:val="0"/>
          <w:bCs w:val="0"/>
          <w:color w:val="auto"/>
          <w:sz w:val="32"/>
          <w:szCs w:val="32"/>
          <w:lang w:val="en-US" w:eastAsia="zh-CN"/>
        </w:rPr>
        <w:t>3.7 其他</w:t>
      </w:r>
      <w:bookmarkEnd w:id="10"/>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3.7.1 既有民用建筑架空层不具备消防安全条件的，不得建造电动自行车充电设施；因场地不足确需使用民用建筑架空层作为停放充电场所的，应按国家消防救援局印发的《建筑架空层电动自行车停放充电消防安全要求（试行）》（消防函〔2024〕41号）执行。</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3.7.2 既有已建成的电动自行车</w:t>
      </w:r>
      <w:r>
        <w:rPr>
          <w:rFonts w:hint="eastAsia" w:ascii="仿宋" w:hAnsi="仿宋" w:eastAsia="仿宋" w:cs="仿宋"/>
          <w:color w:val="auto"/>
          <w:sz w:val="32"/>
          <w:szCs w:val="32"/>
        </w:rPr>
        <w:t>充电设施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应按国家消防救援局发布的《防范电动自行车棚火灾事故七项措施》和市安全生产委员会办公室、市消防安全委员会办公印发的《福州市电动自行车停放充电管理消防安全负面清单及治理措施》执行。</w:t>
      </w: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jc w:val="center"/>
        <w:outlineLvl w:val="0"/>
        <w:rPr>
          <w:rFonts w:hint="eastAsia" w:ascii="黑体" w:hAnsi="黑体" w:eastAsia="黑体" w:cs="黑体"/>
          <w:b w:val="0"/>
          <w:bCs w:val="0"/>
          <w:color w:val="auto"/>
          <w:sz w:val="32"/>
          <w:szCs w:val="32"/>
          <w:lang w:val="en-US" w:eastAsia="zh-CN"/>
        </w:rPr>
      </w:pPr>
      <w:bookmarkStart w:id="11" w:name="_Toc30738"/>
      <w:r>
        <w:rPr>
          <w:rFonts w:hint="eastAsia" w:ascii="黑体" w:hAnsi="黑体" w:eastAsia="黑体" w:cs="黑体"/>
          <w:b w:val="0"/>
          <w:bCs w:val="0"/>
          <w:color w:val="auto"/>
          <w:sz w:val="32"/>
          <w:szCs w:val="32"/>
          <w:lang w:val="en-US" w:eastAsia="zh-CN"/>
        </w:rPr>
        <w:t>4 电动汽车分散充电设施建设的要求</w:t>
      </w:r>
      <w:bookmarkEnd w:id="11"/>
    </w:p>
    <w:p>
      <w:pPr>
        <w:jc w:val="center"/>
        <w:outlineLvl w:val="1"/>
        <w:rPr>
          <w:rFonts w:hint="default" w:ascii="黑体" w:hAnsi="黑体" w:eastAsia="黑体" w:cs="黑体"/>
          <w:b w:val="0"/>
          <w:bCs w:val="0"/>
          <w:color w:val="auto"/>
          <w:sz w:val="32"/>
          <w:szCs w:val="32"/>
          <w:lang w:val="en-US" w:eastAsia="zh-CN"/>
        </w:rPr>
      </w:pPr>
      <w:bookmarkStart w:id="12" w:name="_Toc7698"/>
      <w:r>
        <w:rPr>
          <w:rFonts w:hint="eastAsia" w:ascii="黑体" w:hAnsi="黑体" w:eastAsia="黑体" w:cs="黑体"/>
          <w:b w:val="0"/>
          <w:bCs w:val="0"/>
          <w:color w:val="auto"/>
          <w:sz w:val="32"/>
          <w:szCs w:val="32"/>
          <w:lang w:val="en-US" w:eastAsia="zh-CN"/>
        </w:rPr>
        <w:t>4.1 场所要求</w:t>
      </w:r>
      <w:bookmarkEnd w:id="12"/>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4.1.1 </w:t>
      </w:r>
      <w:r>
        <w:rPr>
          <w:rFonts w:hint="eastAsia" w:ascii="仿宋" w:hAnsi="仿宋" w:eastAsia="仿宋" w:cs="仿宋"/>
          <w:color w:val="auto"/>
          <w:sz w:val="32"/>
          <w:szCs w:val="32"/>
        </w:rPr>
        <w:t>新改扩建</w:t>
      </w:r>
      <w:r>
        <w:rPr>
          <w:rFonts w:hint="eastAsia" w:ascii="仿宋" w:hAnsi="仿宋" w:eastAsia="仿宋" w:cs="仿宋"/>
          <w:color w:val="auto"/>
          <w:sz w:val="32"/>
          <w:szCs w:val="32"/>
          <w:lang w:val="en-US" w:eastAsia="zh-CN"/>
        </w:rPr>
        <w:t>建设工程中</w:t>
      </w:r>
      <w:r>
        <w:rPr>
          <w:rFonts w:hint="eastAsia" w:ascii="仿宋" w:hAnsi="仿宋" w:eastAsia="仿宋" w:cs="仿宋"/>
          <w:color w:val="auto"/>
          <w:sz w:val="32"/>
          <w:szCs w:val="32"/>
        </w:rPr>
        <w:t>电动汽车分散充电设施的</w:t>
      </w:r>
      <w:r>
        <w:rPr>
          <w:rFonts w:hint="eastAsia" w:ascii="仿宋" w:hAnsi="仿宋" w:eastAsia="仿宋" w:cs="仿宋"/>
          <w:color w:val="auto"/>
          <w:sz w:val="32"/>
          <w:szCs w:val="32"/>
          <w:lang w:val="en-US" w:eastAsia="zh-CN"/>
        </w:rPr>
        <w:t>分类、耐火等级、平面布置、防火分隔、安全疏散等设置应</w:t>
      </w:r>
      <w:r>
        <w:rPr>
          <w:rFonts w:hint="eastAsia" w:ascii="仿宋" w:hAnsi="仿宋" w:eastAsia="仿宋" w:cs="仿宋"/>
          <w:color w:val="auto"/>
          <w:kern w:val="2"/>
          <w:sz w:val="32"/>
          <w:szCs w:val="32"/>
          <w:lang w:val="en-US" w:eastAsia="zh-CN" w:bidi="ar-SA"/>
        </w:rPr>
        <w:t>符合</w:t>
      </w:r>
      <w:r>
        <w:rPr>
          <w:rFonts w:hint="eastAsia" w:ascii="仿宋" w:hAnsi="仿宋" w:eastAsia="仿宋" w:cs="仿宋"/>
          <w:color w:val="auto"/>
          <w:sz w:val="32"/>
          <w:szCs w:val="32"/>
          <w:lang w:val="en-US" w:eastAsia="zh-CN"/>
        </w:rPr>
        <w:t>GB50016、GB50067、GB50116等的现行国家标准的相关规定，并应符合现行国家标准</w:t>
      </w:r>
      <w:r>
        <w:rPr>
          <w:rFonts w:hint="eastAsia" w:ascii="仿宋" w:hAnsi="仿宋" w:eastAsia="仿宋" w:cs="仿宋"/>
          <w:color w:val="auto"/>
          <w:sz w:val="32"/>
          <w:szCs w:val="32"/>
        </w:rPr>
        <w:t>GB/T51313</w:t>
      </w:r>
      <w:r>
        <w:rPr>
          <w:rFonts w:hint="eastAsia" w:ascii="仿宋" w:hAnsi="仿宋" w:eastAsia="仿宋" w:cs="仿宋"/>
          <w:color w:val="auto"/>
          <w:sz w:val="32"/>
          <w:szCs w:val="32"/>
          <w:lang w:val="en-US" w:eastAsia="zh-CN"/>
        </w:rPr>
        <w:t>中第6.1节“消防”</w:t>
      </w:r>
      <w:r>
        <w:rPr>
          <w:rFonts w:hint="eastAsia" w:ascii="仿宋" w:hAnsi="仿宋" w:eastAsia="仿宋" w:cs="仿宋"/>
          <w:color w:val="auto"/>
          <w:sz w:val="32"/>
          <w:szCs w:val="32"/>
        </w:rPr>
        <w:t>的有关规定，对其中带有“必须”“应”“不应”“不得”的条文应当严格执行</w:t>
      </w:r>
      <w:r>
        <w:rPr>
          <w:rFonts w:hint="eastAsia" w:ascii="仿宋" w:hAnsi="仿宋" w:eastAsia="仿宋" w:cs="仿宋"/>
          <w:color w:val="auto"/>
          <w:sz w:val="32"/>
          <w:szCs w:val="32"/>
          <w:lang w:eastAsia="zh-CN"/>
        </w:rPr>
        <w:t>。</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4.1.2 设置在室外的，不应影响室外消防设施、疏散通道、救援通道的正常使用；设置在建筑内的，不应影响室内消防设施、安全疏散设施、疏散通道、灭火救援设施的正常使用。</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4.1.3 电动汽车分散充电设施不应设在一类高层民用建筑和甲、乙类厂房、仓库的架空层。</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4.1.4 电动汽车分散充电设施所在区域严禁敷设通过燃油、燃气、蒸汽压力管道等易燃可燃易爆管道。</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4.1.5 机械停车位可不设置电动汽车分散</w:t>
      </w:r>
      <w:r>
        <w:rPr>
          <w:rFonts w:hint="eastAsia" w:ascii="仿宋" w:hAnsi="仿宋" w:eastAsia="仿宋" w:cs="仿宋"/>
          <w:color w:val="auto"/>
          <w:sz w:val="32"/>
          <w:szCs w:val="32"/>
        </w:rPr>
        <w:t>充电设施</w:t>
      </w:r>
      <w:r>
        <w:rPr>
          <w:rFonts w:hint="eastAsia" w:ascii="仿宋" w:hAnsi="仿宋" w:eastAsia="仿宋" w:cs="仿宋"/>
          <w:color w:val="auto"/>
          <w:sz w:val="32"/>
          <w:szCs w:val="32"/>
          <w:lang w:val="en-US" w:eastAsia="zh-CN"/>
        </w:rPr>
        <w:t>。</w:t>
      </w:r>
    </w:p>
    <w:p>
      <w:pPr>
        <w:rPr>
          <w:rFonts w:hint="eastAsia" w:ascii="仿宋" w:hAnsi="仿宋" w:eastAsia="仿宋" w:cs="仿宋"/>
          <w:color w:val="auto"/>
          <w:sz w:val="32"/>
          <w:szCs w:val="32"/>
          <w:lang w:val="en-US" w:eastAsia="zh-CN"/>
        </w:rPr>
      </w:pPr>
    </w:p>
    <w:p>
      <w:pPr>
        <w:jc w:val="center"/>
        <w:outlineLvl w:val="1"/>
        <w:rPr>
          <w:rFonts w:hint="default" w:ascii="黑体" w:hAnsi="黑体" w:eastAsia="黑体" w:cs="黑体"/>
          <w:b w:val="0"/>
          <w:bCs w:val="0"/>
          <w:color w:val="auto"/>
          <w:sz w:val="32"/>
          <w:szCs w:val="32"/>
          <w:lang w:val="en-US" w:eastAsia="zh-CN"/>
        </w:rPr>
      </w:pPr>
      <w:bookmarkStart w:id="13" w:name="_Toc10198"/>
      <w:r>
        <w:rPr>
          <w:rFonts w:hint="eastAsia" w:ascii="黑体" w:hAnsi="黑体" w:eastAsia="黑体" w:cs="黑体"/>
          <w:b w:val="0"/>
          <w:bCs w:val="0"/>
          <w:color w:val="auto"/>
          <w:sz w:val="32"/>
          <w:szCs w:val="32"/>
          <w:lang w:val="en-US" w:eastAsia="zh-CN"/>
        </w:rPr>
        <w:t>4.2 建筑防火</w:t>
      </w:r>
      <w:bookmarkEnd w:id="13"/>
    </w:p>
    <w:p>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4.2.1 </w:t>
      </w:r>
      <w:r>
        <w:rPr>
          <w:rFonts w:hint="eastAsia" w:ascii="仿宋" w:hAnsi="仿宋" w:eastAsia="仿宋" w:cs="仿宋"/>
          <w:color w:val="auto"/>
          <w:sz w:val="32"/>
          <w:szCs w:val="32"/>
        </w:rPr>
        <w:t>在同一防火分区内应集中布置，</w:t>
      </w:r>
      <w:r>
        <w:rPr>
          <w:rFonts w:hint="eastAsia" w:ascii="仿宋" w:hAnsi="仿宋" w:eastAsia="仿宋" w:cs="仿宋"/>
          <w:color w:val="auto"/>
          <w:sz w:val="32"/>
          <w:szCs w:val="32"/>
          <w:lang w:val="en-US" w:eastAsia="zh-CN"/>
        </w:rPr>
        <w:t>设置独立的防火单元，</w:t>
      </w:r>
      <w:r>
        <w:rPr>
          <w:rFonts w:hint="eastAsia" w:ascii="仿宋" w:hAnsi="仿宋" w:eastAsia="仿宋" w:cs="仿宋"/>
          <w:color w:val="auto"/>
          <w:sz w:val="32"/>
          <w:szCs w:val="32"/>
        </w:rPr>
        <w:t>防火单元设置应</w:t>
      </w:r>
      <w:r>
        <w:rPr>
          <w:rFonts w:hint="eastAsia" w:ascii="仿宋" w:hAnsi="仿宋" w:eastAsia="仿宋" w:cs="仿宋"/>
          <w:color w:val="auto"/>
          <w:sz w:val="32"/>
          <w:szCs w:val="32"/>
          <w:lang w:val="en-US" w:eastAsia="zh-CN"/>
        </w:rPr>
        <w:t>符合现行国家标准</w:t>
      </w:r>
      <w:r>
        <w:rPr>
          <w:rFonts w:hint="eastAsia" w:ascii="仿宋" w:hAnsi="仿宋" w:eastAsia="仿宋" w:cs="仿宋"/>
          <w:color w:val="auto"/>
          <w:sz w:val="32"/>
          <w:szCs w:val="32"/>
        </w:rPr>
        <w:t>GB/T51313</w:t>
      </w:r>
      <w:r>
        <w:rPr>
          <w:rFonts w:hint="eastAsia" w:ascii="仿宋" w:hAnsi="仿宋" w:eastAsia="仿宋" w:cs="仿宋"/>
          <w:color w:val="auto"/>
          <w:sz w:val="32"/>
          <w:szCs w:val="32"/>
          <w:lang w:val="en-US" w:eastAsia="zh-CN"/>
        </w:rPr>
        <w:t>中第6.1.5条规定。</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4.2.2 设置在除4.1.3条要求的其他建筑物架空层时，应满足第3.2.4条的相关要求。</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4.2.3 设置在建筑内时，建筑上下层开口之间、外墙上水平或竖向相邻开口之间应按GB55037和GB50016的要求设置墙体、隔板或防火挑檐等实体分隔的措施。</w:t>
      </w:r>
    </w:p>
    <w:p>
      <w:pPr>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lang w:val="en-US" w:eastAsia="zh-CN"/>
        </w:rPr>
        <w:t>4.2.4 电动汽车分散充电设施的围护材料、内部构件及墙面、顶棚等装修材料均应采用燃烧性能A级的材料，地面装修材料应采用不低于B1级的材料。</w:t>
      </w:r>
    </w:p>
    <w:p>
      <w:pPr>
        <w:jc w:val="center"/>
        <w:outlineLvl w:val="1"/>
        <w:rPr>
          <w:rFonts w:hint="default" w:ascii="仿宋" w:hAnsi="仿宋" w:eastAsia="仿宋" w:cs="仿宋"/>
          <w:color w:val="auto"/>
          <w:sz w:val="32"/>
          <w:szCs w:val="32"/>
          <w:lang w:val="en-US" w:eastAsia="zh-CN"/>
        </w:rPr>
      </w:pPr>
      <w:bookmarkStart w:id="14" w:name="_Toc10733"/>
      <w:r>
        <w:rPr>
          <w:rFonts w:hint="eastAsia" w:ascii="黑体" w:hAnsi="黑体" w:eastAsia="黑体" w:cs="黑体"/>
          <w:b w:val="0"/>
          <w:bCs w:val="0"/>
          <w:color w:val="auto"/>
          <w:sz w:val="32"/>
          <w:szCs w:val="32"/>
          <w:lang w:val="en-US" w:eastAsia="zh-CN"/>
        </w:rPr>
        <w:t>4.3 安全疏散</w:t>
      </w:r>
      <w:bookmarkEnd w:id="14"/>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4.3.1 同</w:t>
      </w:r>
      <w:r>
        <w:rPr>
          <w:rFonts w:hint="eastAsia" w:ascii="仿宋" w:hAnsi="仿宋" w:eastAsia="仿宋" w:cs="仿宋"/>
          <w:color w:val="auto"/>
          <w:sz w:val="32"/>
          <w:szCs w:val="32"/>
          <w:lang w:eastAsia="zh-CN"/>
        </w:rPr>
        <w:t>一防火分区直通室外的</w:t>
      </w:r>
      <w:r>
        <w:rPr>
          <w:rFonts w:hint="eastAsia" w:ascii="仿宋" w:hAnsi="仿宋" w:eastAsia="仿宋" w:cs="仿宋"/>
          <w:color w:val="auto"/>
          <w:sz w:val="32"/>
          <w:szCs w:val="32"/>
          <w:lang w:val="en-US" w:eastAsia="zh-CN"/>
        </w:rPr>
        <w:t>人员疏散</w:t>
      </w:r>
      <w:r>
        <w:rPr>
          <w:rFonts w:hint="eastAsia" w:ascii="仿宋" w:hAnsi="仿宋" w:eastAsia="仿宋" w:cs="仿宋"/>
          <w:color w:val="auto"/>
          <w:sz w:val="32"/>
          <w:szCs w:val="32"/>
          <w:lang w:eastAsia="zh-CN"/>
        </w:rPr>
        <w:t>出口应</w:t>
      </w:r>
      <w:r>
        <w:rPr>
          <w:rFonts w:hint="eastAsia" w:ascii="仿宋" w:hAnsi="仿宋" w:eastAsia="仿宋" w:cs="仿宋"/>
          <w:color w:val="auto"/>
          <w:sz w:val="32"/>
          <w:szCs w:val="32"/>
          <w:lang w:val="en-US" w:eastAsia="zh-CN"/>
        </w:rPr>
        <w:t>遵循双向疏散原则</w:t>
      </w:r>
      <w:r>
        <w:rPr>
          <w:rFonts w:hint="eastAsia" w:ascii="仿宋" w:hAnsi="仿宋" w:eastAsia="仿宋" w:cs="仿宋"/>
          <w:color w:val="auto"/>
          <w:sz w:val="32"/>
          <w:szCs w:val="32"/>
          <w:lang w:eastAsia="zh-CN"/>
        </w:rPr>
        <w:t>分散布置，不应设置在同一个防火单元内，每个防火单元</w:t>
      </w:r>
      <w:r>
        <w:rPr>
          <w:rFonts w:hint="eastAsia" w:ascii="仿宋" w:hAnsi="仿宋" w:eastAsia="仿宋" w:cs="仿宋"/>
          <w:color w:val="auto"/>
          <w:sz w:val="32"/>
          <w:szCs w:val="32"/>
          <w:lang w:val="en-US" w:eastAsia="zh-CN"/>
        </w:rPr>
        <w:t>的人员疏散</w:t>
      </w:r>
      <w:r>
        <w:rPr>
          <w:rFonts w:hint="eastAsia" w:ascii="仿宋" w:hAnsi="仿宋" w:eastAsia="仿宋" w:cs="仿宋"/>
          <w:color w:val="auto"/>
          <w:sz w:val="32"/>
          <w:szCs w:val="32"/>
          <w:lang w:eastAsia="zh-CN"/>
        </w:rPr>
        <w:t>出口</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lang w:val="en-US" w:eastAsia="zh-CN"/>
        </w:rPr>
        <w:t>少于1</w:t>
      </w:r>
      <w:r>
        <w:rPr>
          <w:rFonts w:hint="eastAsia" w:ascii="仿宋" w:hAnsi="仿宋" w:eastAsia="仿宋" w:cs="仿宋"/>
          <w:color w:val="auto"/>
          <w:sz w:val="32"/>
          <w:szCs w:val="32"/>
          <w:lang w:eastAsia="zh-CN"/>
        </w:rPr>
        <w:t>个</w:t>
      </w:r>
      <w:r>
        <w:rPr>
          <w:rFonts w:hint="eastAsia" w:ascii="仿宋" w:hAnsi="仿宋" w:eastAsia="仿宋" w:cs="仿宋"/>
          <w:color w:val="auto"/>
          <w:kern w:val="2"/>
          <w:sz w:val="32"/>
          <w:szCs w:val="32"/>
          <w:lang w:val="en-US" w:eastAsia="zh-CN" w:bidi="ar-SA"/>
        </w:rPr>
        <w:t>。</w:t>
      </w:r>
    </w:p>
    <w:p>
      <w:pP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4.3.2 人员安全出口直通室外确有困难时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应符合</w:t>
      </w:r>
      <w:r>
        <w:rPr>
          <w:rFonts w:hint="eastAsia" w:ascii="仿宋" w:hAnsi="仿宋" w:eastAsia="仿宋" w:cs="仿宋"/>
          <w:color w:val="auto"/>
          <w:sz w:val="32"/>
          <w:szCs w:val="32"/>
          <w:lang w:eastAsia="zh-CN"/>
        </w:rPr>
        <w:t>下列</w:t>
      </w:r>
      <w:r>
        <w:rPr>
          <w:rFonts w:hint="eastAsia" w:ascii="仿宋" w:hAnsi="仿宋" w:eastAsia="仿宋" w:cs="仿宋"/>
          <w:color w:val="auto"/>
          <w:sz w:val="32"/>
          <w:szCs w:val="32"/>
          <w:lang w:val="en-US" w:eastAsia="zh-CN"/>
        </w:rPr>
        <w:t>条件之一</w:t>
      </w:r>
      <w:r>
        <w:rPr>
          <w:rFonts w:hint="eastAsia" w:ascii="仿宋" w:hAnsi="仿宋" w:eastAsia="仿宋" w:cs="仿宋"/>
          <w:color w:val="auto"/>
          <w:sz w:val="32"/>
          <w:szCs w:val="32"/>
          <w:lang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1、一个防火单元内至少有2个利用不同的相邻防火单元的甲级防火门进行疏散，防火门应设置智能（火警勿入）疏散指示标志。</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2、防火单元可利用长度不大于30米，净宽度大于1.1米的疏散通道进入直通室外的安全出口，疏散通道耐火极限不小于2.00h；开向该通道内的门均应采用甲级防火门。</w:t>
      </w:r>
    </w:p>
    <w:p>
      <w:pPr>
        <w:jc w:val="center"/>
        <w:outlineLvl w:val="1"/>
        <w:rPr>
          <w:rFonts w:hint="eastAsia" w:ascii="仿宋" w:hAnsi="仿宋" w:eastAsia="仿宋" w:cs="仿宋"/>
          <w:color w:val="auto"/>
          <w:sz w:val="32"/>
          <w:szCs w:val="32"/>
          <w:lang w:val="en-US" w:eastAsia="zh-CN"/>
        </w:rPr>
      </w:pPr>
      <w:bookmarkStart w:id="15" w:name="_Toc19829"/>
      <w:r>
        <w:rPr>
          <w:rFonts w:hint="eastAsia" w:ascii="黑体" w:hAnsi="黑体" w:eastAsia="黑体" w:cs="黑体"/>
          <w:b w:val="0"/>
          <w:bCs w:val="0"/>
          <w:color w:val="auto"/>
          <w:sz w:val="32"/>
          <w:szCs w:val="32"/>
          <w:lang w:val="en-US" w:eastAsia="zh-CN"/>
        </w:rPr>
        <w:t>4.4 消防设施器材</w:t>
      </w:r>
      <w:bookmarkEnd w:id="15"/>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4.4.1 消防设施的设置应</w:t>
      </w:r>
      <w:r>
        <w:rPr>
          <w:rFonts w:hint="eastAsia" w:ascii="仿宋" w:hAnsi="仿宋" w:eastAsia="仿宋" w:cs="仿宋"/>
          <w:color w:val="auto"/>
          <w:kern w:val="2"/>
          <w:sz w:val="32"/>
          <w:szCs w:val="32"/>
          <w:lang w:val="en-US" w:eastAsia="zh-CN" w:bidi="ar-SA"/>
        </w:rPr>
        <w:t>符合</w:t>
      </w:r>
      <w:r>
        <w:rPr>
          <w:rFonts w:hint="eastAsia" w:ascii="仿宋" w:hAnsi="仿宋" w:eastAsia="仿宋" w:cs="仿宋"/>
          <w:color w:val="auto"/>
          <w:sz w:val="32"/>
          <w:szCs w:val="32"/>
          <w:lang w:val="en-US" w:eastAsia="zh-CN"/>
        </w:rPr>
        <w:t>GB50016、GB50067等的现行国家标准的相关规定。</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4.4.2 设置在地下、半地下层和高层建筑内的电动汽车分散充电设施，应设置</w:t>
      </w:r>
      <w:r>
        <w:rPr>
          <w:rFonts w:hint="eastAsia" w:ascii="仿宋" w:hAnsi="仿宋" w:eastAsia="仿宋" w:cs="仿宋"/>
          <w:color w:val="auto"/>
          <w:sz w:val="32"/>
          <w:szCs w:val="32"/>
        </w:rPr>
        <w:t>火灾自动报警系统、排烟设施、自动喷水灭火系统、消防应急照明和疏散指示</w:t>
      </w:r>
      <w:r>
        <w:rPr>
          <w:rFonts w:hint="eastAsia" w:ascii="仿宋" w:hAnsi="仿宋" w:eastAsia="仿宋" w:cs="仿宋"/>
          <w:color w:val="auto"/>
          <w:sz w:val="32"/>
          <w:szCs w:val="32"/>
          <w:lang w:val="en-US" w:eastAsia="zh-CN"/>
        </w:rPr>
        <w:t>系统。</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4.4.3 设置在其他建筑底层（架空层）的，应满足以下要求：</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1、设在高层建筑底层（架空层）时，应设置自动喷水灭火系统，喷头应采用快速响应喷头，并应设置火灾自动报警系统；</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设在单、多层建筑底层（架空层）时，若该单、多层建筑按国家工程建设消防技术标准和规范要求属于可不设置自动喷水灭火系统情形的，且设置自动喷水灭火系统确有困难的，应设置自动喷水灭火局部应用系统，局部应用系统设置按现行国家标准GB50084执行；</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3、应设置消防软管卷盘或轻便消防水龙。</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4.4.4 设自动喷水灭火系统的分散充电设施场所，系统喷水强度宜不低于10L/(min.㎡)，喷头流量系数K≥115，每个充电车位上部至少设有2个喷头。</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4.4.5 设有分散充电设施场所，若为同一防火分区内两个相邻防火单元，可共用一个排烟系统，排烟风机的排烟量可按一个防火单元的排烟量确定。当一个排烟系统担负两个防火单元的排烟时，每个防火单元排烟支管上应设置排烟防火阀，火灾发生时，仅对着火防火单元进行排烟。</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4.4.6 每个防火单元应设置排烟补风设施，具备自然补风条件的防火单元宜采用自然补风，无自然补风条件的防火单元应设置机械补风系统，也可通过防火风口从同一防火分区内的相邻防火单元间接补风，但应符合下列规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该相邻防火单元应设有机械补风系统或具备直接自然补风的条件；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单个防火单元的防火补风口数量不应少于两个，且补风口之间的水平距离不宜小于20m，防火补风口应设在储烟仓下沿以下，补风口风速不宜大于3m/s，并应在穿墙处设置280℃防火阀；</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火灾发生时，负担着火防火单元的补风设施应与该防火单元的排烟风机联动开启及关闭。</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 地下车库的防排烟风管耐火极限不应小于1.00h。</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4.4.7 未设置火灾自动报警系统的，应设置具有声光报警功能的独立式火灾探测器。</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4.4.8 电动汽车分散充电设施所在区域应按灭火器配置场所的严重危险级要求配置灭火器，并宜选用手提式水基型灭火器或推车式水基型灭火器。灭火设施应设置在位置明显、便于取用的部位并成对配置，且不得影响安全疏散。</w:t>
      </w:r>
    </w:p>
    <w:p>
      <w:pPr>
        <w:jc w:val="center"/>
        <w:outlineLvl w:val="1"/>
        <w:rPr>
          <w:rFonts w:hint="eastAsia" w:ascii="仿宋" w:hAnsi="仿宋" w:eastAsia="仿宋" w:cs="仿宋"/>
          <w:color w:val="auto"/>
          <w:sz w:val="32"/>
          <w:szCs w:val="32"/>
          <w:lang w:val="en-US" w:eastAsia="zh-CN"/>
        </w:rPr>
      </w:pPr>
      <w:bookmarkStart w:id="16" w:name="_Toc3494"/>
      <w:r>
        <w:rPr>
          <w:rFonts w:hint="eastAsia" w:ascii="黑体" w:hAnsi="黑体" w:eastAsia="黑体" w:cs="黑体"/>
          <w:b w:val="0"/>
          <w:bCs w:val="0"/>
          <w:color w:val="auto"/>
          <w:sz w:val="32"/>
          <w:szCs w:val="32"/>
          <w:lang w:val="en-US" w:eastAsia="zh-CN"/>
        </w:rPr>
        <w:t>4.5 电气</w:t>
      </w:r>
      <w:bookmarkEnd w:id="16"/>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4.5.1 电动汽车分散充电设施的供配电系统应符合现行福建省工程建设地方标准《福建省电动汽车充电基础设施建设技术规程》第5.2节“供配电系统”的有关规定。</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4.5.2 设有</w:t>
      </w:r>
      <w:r>
        <w:rPr>
          <w:rFonts w:hint="default" w:ascii="仿宋" w:hAnsi="仿宋" w:eastAsia="仿宋" w:cs="仿宋"/>
          <w:color w:val="auto"/>
          <w:sz w:val="32"/>
          <w:szCs w:val="32"/>
          <w:lang w:val="en-US" w:eastAsia="zh-CN"/>
        </w:rPr>
        <w:t>火灾自动报警系统的,火灾报警后</w:t>
      </w:r>
      <w:r>
        <w:rPr>
          <w:rFonts w:hint="eastAsia" w:ascii="仿宋" w:hAnsi="仿宋" w:eastAsia="仿宋" w:cs="仿宋"/>
          <w:color w:val="auto"/>
          <w:sz w:val="32"/>
          <w:szCs w:val="32"/>
          <w:lang w:val="en-US" w:eastAsia="zh-CN"/>
        </w:rPr>
        <w:t>应立即</w:t>
      </w:r>
      <w:r>
        <w:rPr>
          <w:rFonts w:hint="default" w:ascii="仿宋" w:hAnsi="仿宋" w:eastAsia="仿宋" w:cs="仿宋"/>
          <w:color w:val="auto"/>
          <w:sz w:val="32"/>
          <w:szCs w:val="32"/>
          <w:lang w:val="en-US" w:eastAsia="zh-CN"/>
        </w:rPr>
        <w:t>自动切断</w:t>
      </w:r>
      <w:r>
        <w:rPr>
          <w:rFonts w:hint="eastAsia" w:ascii="仿宋" w:hAnsi="仿宋" w:eastAsia="仿宋" w:cs="仿宋"/>
          <w:color w:val="auto"/>
          <w:sz w:val="32"/>
          <w:szCs w:val="32"/>
          <w:lang w:val="en-US" w:eastAsia="zh-CN"/>
        </w:rPr>
        <w:t>火灾报警防火单元的</w:t>
      </w:r>
      <w:r>
        <w:rPr>
          <w:rFonts w:hint="default" w:ascii="仿宋" w:hAnsi="仿宋" w:eastAsia="仿宋" w:cs="仿宋"/>
          <w:color w:val="auto"/>
          <w:sz w:val="32"/>
          <w:szCs w:val="32"/>
          <w:lang w:val="en-US" w:eastAsia="zh-CN"/>
        </w:rPr>
        <w:t>充电设备电源。</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4.5.3 </w:t>
      </w:r>
      <w:r>
        <w:rPr>
          <w:rFonts w:hint="default" w:ascii="仿宋" w:hAnsi="仿宋" w:eastAsia="仿宋" w:cs="仿宋"/>
          <w:color w:val="auto"/>
          <w:sz w:val="32"/>
          <w:szCs w:val="32"/>
          <w:lang w:val="en-US" w:eastAsia="zh-CN"/>
        </w:rPr>
        <w:t>充电设备应具备</w:t>
      </w:r>
      <w:r>
        <w:rPr>
          <w:rFonts w:hint="eastAsia" w:ascii="仿宋" w:hAnsi="仿宋" w:eastAsia="仿宋" w:cs="仿宋"/>
          <w:color w:val="auto"/>
          <w:sz w:val="32"/>
          <w:szCs w:val="32"/>
          <w:lang w:val="en-US" w:eastAsia="zh-CN"/>
        </w:rPr>
        <w:t>充满</w:t>
      </w:r>
      <w:r>
        <w:rPr>
          <w:rFonts w:hint="default" w:ascii="仿宋" w:hAnsi="仿宋" w:eastAsia="仿宋" w:cs="仿宋"/>
          <w:color w:val="auto"/>
          <w:sz w:val="32"/>
          <w:szCs w:val="32"/>
          <w:lang w:val="en-US" w:eastAsia="zh-CN"/>
        </w:rPr>
        <w:t>自动断电、充电故障自动断电、</w:t>
      </w:r>
      <w:r>
        <w:rPr>
          <w:rFonts w:hint="default" w:ascii="Times New Roman" w:hAnsi="Times New Roman" w:eastAsia="仿宋_GB2312" w:cs="Times New Roman"/>
          <w:b w:val="0"/>
          <w:bCs/>
          <w:color w:val="auto"/>
          <w:sz w:val="32"/>
          <w:szCs w:val="32"/>
        </w:rPr>
        <w:t>过载保护、短路保护、漏电保护</w:t>
      </w:r>
      <w:r>
        <w:rPr>
          <w:rFonts w:hint="default" w:ascii="仿宋" w:hAnsi="仿宋" w:eastAsia="仿宋" w:cs="仿宋"/>
          <w:color w:val="auto"/>
          <w:sz w:val="32"/>
          <w:szCs w:val="32"/>
          <w:lang w:val="en-US" w:eastAsia="zh-CN"/>
        </w:rPr>
        <w:t>以及充电故障报警等功能。</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4.5.4 </w:t>
      </w:r>
      <w:r>
        <w:rPr>
          <w:rFonts w:hint="default" w:ascii="仿宋" w:hAnsi="仿宋" w:eastAsia="仿宋" w:cs="仿宋"/>
          <w:color w:val="auto"/>
          <w:sz w:val="32"/>
          <w:szCs w:val="32"/>
          <w:lang w:val="en-US" w:eastAsia="zh-CN"/>
        </w:rPr>
        <w:t>除规划未设置室外</w:t>
      </w:r>
      <w:r>
        <w:rPr>
          <w:rFonts w:hint="eastAsia" w:ascii="仿宋" w:hAnsi="仿宋" w:eastAsia="仿宋" w:cs="仿宋"/>
          <w:color w:val="auto"/>
          <w:sz w:val="32"/>
          <w:szCs w:val="32"/>
          <w:lang w:val="en-US" w:eastAsia="zh-CN"/>
        </w:rPr>
        <w:t>电动汽车分散</w:t>
      </w:r>
      <w:r>
        <w:rPr>
          <w:rFonts w:hint="eastAsia" w:ascii="仿宋" w:hAnsi="仿宋" w:eastAsia="仿宋" w:cs="仿宋"/>
          <w:color w:val="auto"/>
          <w:sz w:val="32"/>
          <w:szCs w:val="32"/>
        </w:rPr>
        <w:t>充电设施</w:t>
      </w:r>
      <w:r>
        <w:rPr>
          <w:rFonts w:hint="default" w:ascii="仿宋" w:hAnsi="仿宋" w:eastAsia="仿宋" w:cs="仿宋"/>
          <w:color w:val="auto"/>
          <w:sz w:val="32"/>
          <w:szCs w:val="32"/>
          <w:lang w:val="en-US" w:eastAsia="zh-CN"/>
        </w:rPr>
        <w:t>的项目</w:t>
      </w:r>
      <w:r>
        <w:rPr>
          <w:rFonts w:hint="eastAsia" w:ascii="仿宋" w:hAnsi="仿宋" w:eastAsia="仿宋" w:cs="仿宋"/>
          <w:color w:val="auto"/>
          <w:sz w:val="32"/>
          <w:szCs w:val="32"/>
          <w:lang w:val="en-US" w:eastAsia="zh-CN"/>
        </w:rPr>
        <w:t>外，额定功率大于7kW的电动汽车充电设备不宜设在建筑物内,当设在独立建造的停车库内时额定功率可大于7kW，并应符合《火灾自动报警系统设计规范》GB50116的有关规定。</w:t>
      </w:r>
    </w:p>
    <w:p>
      <w:pPr>
        <w:jc w:val="center"/>
        <w:outlineLvl w:val="1"/>
        <w:rPr>
          <w:rFonts w:hint="eastAsia" w:ascii="仿宋" w:hAnsi="仿宋" w:eastAsia="仿宋" w:cs="仿宋"/>
          <w:color w:val="auto"/>
          <w:sz w:val="32"/>
          <w:szCs w:val="32"/>
          <w:lang w:val="en-US" w:eastAsia="zh-CN"/>
        </w:rPr>
      </w:pPr>
      <w:bookmarkStart w:id="17" w:name="_Toc5153"/>
      <w:r>
        <w:rPr>
          <w:rFonts w:hint="eastAsia" w:ascii="黑体" w:hAnsi="黑体" w:eastAsia="黑体" w:cs="黑体"/>
          <w:b w:val="0"/>
          <w:bCs w:val="0"/>
          <w:color w:val="auto"/>
          <w:sz w:val="32"/>
          <w:szCs w:val="32"/>
          <w:lang w:val="en-US" w:eastAsia="zh-CN"/>
        </w:rPr>
        <w:t>4.6 安全管理</w:t>
      </w:r>
      <w:bookmarkEnd w:id="17"/>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4.6.1 宜安装24h视频监视系统，监视图像应能在控制室或值班室等的系统平台实时显示，火灾自动报警后可联动视频监视系统的监视画面至报警区域，并发出报警声音提示，让控制室或值班室人员可以及时确认现场情况。</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4.6.2 电动汽车分散充电设施</w:t>
      </w:r>
      <w:r>
        <w:rPr>
          <w:rFonts w:hint="default" w:ascii="仿宋" w:hAnsi="仿宋" w:eastAsia="仿宋" w:cs="仿宋"/>
          <w:color w:val="auto"/>
          <w:sz w:val="32"/>
          <w:szCs w:val="32"/>
          <w:lang w:val="en-US" w:eastAsia="zh-CN"/>
        </w:rPr>
        <w:t>充电设施建设运营</w:t>
      </w:r>
      <w:r>
        <w:rPr>
          <w:rFonts w:hint="eastAsia" w:ascii="仿宋" w:hAnsi="仿宋" w:eastAsia="仿宋" w:cs="仿宋"/>
          <w:color w:val="auto"/>
          <w:sz w:val="32"/>
          <w:szCs w:val="32"/>
          <w:lang w:val="en-US" w:eastAsia="zh-CN"/>
        </w:rPr>
        <w:t>管理</w:t>
      </w:r>
      <w:r>
        <w:rPr>
          <w:rFonts w:hint="default" w:ascii="仿宋" w:hAnsi="仿宋" w:eastAsia="仿宋" w:cs="仿宋"/>
          <w:color w:val="auto"/>
          <w:sz w:val="32"/>
          <w:szCs w:val="32"/>
          <w:lang w:val="en-US" w:eastAsia="zh-CN"/>
        </w:rPr>
        <w:t>单位</w:t>
      </w:r>
      <w:r>
        <w:rPr>
          <w:rFonts w:hint="eastAsia" w:ascii="仿宋" w:hAnsi="仿宋" w:eastAsia="仿宋" w:cs="仿宋"/>
          <w:color w:val="auto"/>
          <w:sz w:val="32"/>
          <w:szCs w:val="32"/>
          <w:lang w:val="en-US" w:eastAsia="zh-CN"/>
        </w:rPr>
        <w:t>宜</w:t>
      </w:r>
      <w:r>
        <w:rPr>
          <w:rFonts w:hint="default" w:ascii="仿宋" w:hAnsi="仿宋" w:eastAsia="仿宋" w:cs="仿宋"/>
          <w:color w:val="auto"/>
          <w:sz w:val="32"/>
          <w:szCs w:val="32"/>
          <w:lang w:val="en-US" w:eastAsia="zh-CN"/>
        </w:rPr>
        <w:t>建立数据平台，确保能及时掌握充电设施总体状态并提供相关数据。</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4.6.3 电动汽车分散充电设施</w:t>
      </w:r>
      <w:r>
        <w:rPr>
          <w:rFonts w:hint="default" w:ascii="仿宋" w:hAnsi="仿宋" w:eastAsia="仿宋" w:cs="仿宋"/>
          <w:color w:val="auto"/>
          <w:sz w:val="32"/>
          <w:szCs w:val="32"/>
          <w:lang w:val="en-US" w:eastAsia="zh-CN"/>
        </w:rPr>
        <w:t>运营</w:t>
      </w:r>
      <w:r>
        <w:rPr>
          <w:rFonts w:hint="eastAsia" w:ascii="仿宋" w:hAnsi="仿宋" w:eastAsia="仿宋" w:cs="仿宋"/>
          <w:color w:val="auto"/>
          <w:sz w:val="32"/>
          <w:szCs w:val="32"/>
          <w:lang w:val="en-US" w:eastAsia="zh-CN"/>
        </w:rPr>
        <w:t>管理</w:t>
      </w:r>
      <w:r>
        <w:rPr>
          <w:rFonts w:hint="default" w:ascii="仿宋" w:hAnsi="仿宋" w:eastAsia="仿宋" w:cs="仿宋"/>
          <w:color w:val="auto"/>
          <w:sz w:val="32"/>
          <w:szCs w:val="32"/>
          <w:lang w:val="en-US" w:eastAsia="zh-CN"/>
        </w:rPr>
        <w:t>单位应建立日常消防安全管理和防火巡查制度，明确专人负责，对</w:t>
      </w:r>
      <w:r>
        <w:rPr>
          <w:rFonts w:hint="eastAsia" w:ascii="仿宋" w:hAnsi="仿宋" w:eastAsia="仿宋" w:cs="仿宋"/>
          <w:color w:val="auto"/>
          <w:sz w:val="32"/>
          <w:szCs w:val="32"/>
          <w:lang w:val="en-US" w:eastAsia="zh-CN"/>
        </w:rPr>
        <w:t>分散</w:t>
      </w:r>
      <w:r>
        <w:rPr>
          <w:rFonts w:hint="default" w:ascii="仿宋" w:hAnsi="仿宋" w:eastAsia="仿宋" w:cs="仿宋"/>
          <w:color w:val="auto"/>
          <w:sz w:val="32"/>
          <w:szCs w:val="32"/>
          <w:lang w:val="en-US" w:eastAsia="zh-CN"/>
        </w:rPr>
        <w:t>充电设施及消防设施和器材、消防安全标志等进行统一管理，定期组织开展防火巡查和防火检查，并加强夜间防火巡查；防火检查和巡查应如实记录，发现火灾隐患应及时消除</w:t>
      </w:r>
      <w:r>
        <w:rPr>
          <w:rFonts w:hint="eastAsia" w:ascii="仿宋" w:hAnsi="仿宋" w:eastAsia="仿宋" w:cs="仿宋"/>
          <w:color w:val="auto"/>
          <w:sz w:val="32"/>
          <w:szCs w:val="32"/>
          <w:lang w:val="en-US" w:eastAsia="zh-CN"/>
        </w:rPr>
        <w:t>。</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4.6.4 电动汽车分散充电设施</w:t>
      </w:r>
      <w:r>
        <w:rPr>
          <w:rFonts w:hint="default" w:ascii="仿宋" w:hAnsi="仿宋" w:eastAsia="仿宋" w:cs="仿宋"/>
          <w:color w:val="auto"/>
          <w:sz w:val="32"/>
          <w:szCs w:val="32"/>
          <w:lang w:val="en-US" w:eastAsia="zh-CN"/>
        </w:rPr>
        <w:t>运营</w:t>
      </w:r>
      <w:r>
        <w:rPr>
          <w:rFonts w:hint="eastAsia" w:ascii="仿宋" w:hAnsi="仿宋" w:eastAsia="仿宋" w:cs="仿宋"/>
          <w:color w:val="auto"/>
          <w:sz w:val="32"/>
          <w:szCs w:val="32"/>
          <w:lang w:val="en-US" w:eastAsia="zh-CN"/>
        </w:rPr>
        <w:t>管理</w:t>
      </w:r>
      <w:r>
        <w:rPr>
          <w:rFonts w:hint="default" w:ascii="仿宋" w:hAnsi="仿宋" w:eastAsia="仿宋" w:cs="仿宋"/>
          <w:color w:val="auto"/>
          <w:sz w:val="32"/>
          <w:szCs w:val="32"/>
          <w:lang w:val="en-US" w:eastAsia="zh-CN"/>
        </w:rPr>
        <w:t>单位应每半年至少开展一次供配电系统、充电柜、换电柜的电力检修，检修作业应由具有相关专业资质的人员实施。</w:t>
      </w:r>
    </w:p>
    <w:p>
      <w:pPr>
        <w:jc w:val="center"/>
        <w:outlineLvl w:val="1"/>
        <w:rPr>
          <w:rFonts w:hint="eastAsia" w:ascii="仿宋" w:hAnsi="仿宋" w:eastAsia="仿宋" w:cs="仿宋"/>
          <w:color w:val="auto"/>
          <w:sz w:val="32"/>
          <w:szCs w:val="32"/>
          <w:lang w:val="en-US" w:eastAsia="zh-CN"/>
        </w:rPr>
      </w:pPr>
      <w:bookmarkStart w:id="18" w:name="_Toc5429"/>
      <w:r>
        <w:rPr>
          <w:rFonts w:hint="eastAsia" w:ascii="黑体" w:hAnsi="黑体" w:eastAsia="黑体" w:cs="黑体"/>
          <w:b w:val="0"/>
          <w:bCs w:val="0"/>
          <w:color w:val="auto"/>
          <w:sz w:val="32"/>
          <w:szCs w:val="32"/>
          <w:lang w:val="en-US" w:eastAsia="zh-CN"/>
        </w:rPr>
        <w:t>4.7 其他</w:t>
      </w:r>
      <w:bookmarkEnd w:id="18"/>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4.7.1 在既有建筑内安装电动汽车分散</w:t>
      </w:r>
      <w:r>
        <w:rPr>
          <w:rFonts w:hint="eastAsia" w:ascii="仿宋" w:hAnsi="仿宋" w:eastAsia="仿宋" w:cs="仿宋"/>
          <w:color w:val="auto"/>
          <w:sz w:val="32"/>
          <w:szCs w:val="32"/>
        </w:rPr>
        <w:t>充电设施</w:t>
      </w:r>
      <w:r>
        <w:rPr>
          <w:rFonts w:hint="eastAsia" w:ascii="仿宋" w:hAnsi="仿宋" w:eastAsia="仿宋" w:cs="仿宋"/>
          <w:color w:val="auto"/>
          <w:sz w:val="32"/>
          <w:szCs w:val="32"/>
          <w:lang w:val="en-US" w:eastAsia="zh-CN"/>
        </w:rPr>
        <w:t>，应符合现行国家标准GB/T51313中第6.1.6条的规定。</w:t>
      </w:r>
    </w:p>
    <w:p>
      <w:pPr>
        <w:rPr>
          <w:color w:val="auto"/>
        </w:rPr>
      </w:pPr>
      <w:r>
        <w:rPr>
          <w:rFonts w:hint="eastAsia" w:ascii="仿宋" w:hAnsi="仿宋" w:eastAsia="仿宋" w:cs="仿宋"/>
          <w:color w:val="auto"/>
          <w:sz w:val="32"/>
          <w:szCs w:val="32"/>
          <w:lang w:val="en-US" w:eastAsia="zh-CN"/>
        </w:rPr>
        <w:t>4.7.2 对于竣工于现行国家标准GB/T51313-2018实施之前的既有建筑，在建筑内地下停车库安装电动汽车分散</w:t>
      </w:r>
      <w:r>
        <w:rPr>
          <w:rFonts w:hint="eastAsia" w:ascii="仿宋" w:hAnsi="仿宋" w:eastAsia="仿宋" w:cs="仿宋"/>
          <w:color w:val="auto"/>
          <w:sz w:val="32"/>
          <w:szCs w:val="32"/>
        </w:rPr>
        <w:t>充电设施</w:t>
      </w:r>
      <w:r>
        <w:rPr>
          <w:rFonts w:hint="eastAsia" w:ascii="仿宋" w:hAnsi="仿宋" w:eastAsia="仿宋" w:cs="仿宋"/>
          <w:color w:val="auto"/>
          <w:sz w:val="32"/>
          <w:szCs w:val="32"/>
          <w:lang w:val="en-US" w:eastAsia="zh-CN"/>
        </w:rPr>
        <w:t>时，</w:t>
      </w:r>
      <w:r>
        <w:rPr>
          <w:rFonts w:hint="eastAsia" w:ascii="仿宋" w:hAnsi="仿宋" w:eastAsia="仿宋" w:cs="仿宋"/>
          <w:color w:val="auto"/>
          <w:sz w:val="32"/>
          <w:szCs w:val="32"/>
        </w:rPr>
        <w:t>防火</w:t>
      </w:r>
      <w:r>
        <w:rPr>
          <w:rFonts w:hint="eastAsia" w:ascii="仿宋" w:hAnsi="仿宋" w:eastAsia="仿宋" w:cs="仿宋"/>
          <w:color w:val="auto"/>
          <w:sz w:val="32"/>
          <w:szCs w:val="32"/>
          <w:lang w:eastAsia="zh-CN"/>
        </w:rPr>
        <w:t>单元</w:t>
      </w:r>
      <w:r>
        <w:rPr>
          <w:rFonts w:hint="eastAsia" w:ascii="仿宋" w:hAnsi="仿宋" w:eastAsia="仿宋" w:cs="仿宋"/>
          <w:color w:val="auto"/>
          <w:sz w:val="32"/>
          <w:szCs w:val="32"/>
          <w:lang w:val="en-US" w:eastAsia="zh-CN"/>
        </w:rPr>
        <w:t>的最大允许面积不符合GB/T51313-2018的第6.1.5条规定的，应能满足GB/T51313其他条款要求，且应满足GB50067等停车库国家标准的要求。</w:t>
      </w:r>
    </w:p>
    <w:p>
      <w:pPr>
        <w:rPr>
          <w:color w:val="auto"/>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jc w:val="both"/>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ZTZkODFhMWJkMmRmNGY1ZDQyZTE3OWIzNDQwZTEifQ=="/>
  </w:docVars>
  <w:rsids>
    <w:rsidRoot w:val="41B7663A"/>
    <w:rsid w:val="0C157647"/>
    <w:rsid w:val="0ED623EA"/>
    <w:rsid w:val="0FE77F44"/>
    <w:rsid w:val="10930F58"/>
    <w:rsid w:val="10D77590"/>
    <w:rsid w:val="11F4066E"/>
    <w:rsid w:val="12D90CE6"/>
    <w:rsid w:val="177940E7"/>
    <w:rsid w:val="17EE3292"/>
    <w:rsid w:val="18542D36"/>
    <w:rsid w:val="194C05E1"/>
    <w:rsid w:val="1D310556"/>
    <w:rsid w:val="1F687517"/>
    <w:rsid w:val="21CB3095"/>
    <w:rsid w:val="22796005"/>
    <w:rsid w:val="2515664D"/>
    <w:rsid w:val="251F1A48"/>
    <w:rsid w:val="252C7BB3"/>
    <w:rsid w:val="25390F96"/>
    <w:rsid w:val="29C15913"/>
    <w:rsid w:val="2D5912BB"/>
    <w:rsid w:val="2F193BD1"/>
    <w:rsid w:val="312877B5"/>
    <w:rsid w:val="32DF2375"/>
    <w:rsid w:val="35516B3A"/>
    <w:rsid w:val="38535353"/>
    <w:rsid w:val="3854094F"/>
    <w:rsid w:val="3AB6773B"/>
    <w:rsid w:val="3ACD7946"/>
    <w:rsid w:val="41696DBC"/>
    <w:rsid w:val="41842C1C"/>
    <w:rsid w:val="41B27938"/>
    <w:rsid w:val="41B7663A"/>
    <w:rsid w:val="42867D96"/>
    <w:rsid w:val="48B53E71"/>
    <w:rsid w:val="4BFF5D33"/>
    <w:rsid w:val="4CC0756F"/>
    <w:rsid w:val="4F6B5C25"/>
    <w:rsid w:val="518D626E"/>
    <w:rsid w:val="51E168AC"/>
    <w:rsid w:val="52B005CF"/>
    <w:rsid w:val="54CD38EC"/>
    <w:rsid w:val="55495A41"/>
    <w:rsid w:val="55A462B8"/>
    <w:rsid w:val="5DF3055B"/>
    <w:rsid w:val="5ED137AE"/>
    <w:rsid w:val="5ED56360"/>
    <w:rsid w:val="620F7C98"/>
    <w:rsid w:val="6520458B"/>
    <w:rsid w:val="6584002D"/>
    <w:rsid w:val="69C018D4"/>
    <w:rsid w:val="6A082058"/>
    <w:rsid w:val="6C1A2DCF"/>
    <w:rsid w:val="6C1D40D9"/>
    <w:rsid w:val="726207EE"/>
    <w:rsid w:val="744B04F0"/>
    <w:rsid w:val="76E82749"/>
    <w:rsid w:val="79184303"/>
    <w:rsid w:val="79BE1436"/>
    <w:rsid w:val="79E843A4"/>
    <w:rsid w:val="7CC32B77"/>
    <w:rsid w:val="7EB97518"/>
    <w:rsid w:val="7ED70298"/>
    <w:rsid w:val="7F613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toc 2"/>
    <w:basedOn w:val="1"/>
    <w:next w:val="1"/>
    <w:qFormat/>
    <w:uiPriority w:val="0"/>
    <w:pPr>
      <w:ind w:left="420" w:leftChars="200"/>
    </w:pPr>
  </w:style>
  <w:style w:type="paragraph" w:customStyle="1" w:styleId="9">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2024-03-29T09:49:00Z</dcterms:created>
  <dc:creator>bobo</dc:creator>
  <cp:lastModifiedBy>冰清玉洁</cp:lastModifiedBy>
  <cp:lastPrinted>2024-06-19T08:59:00Z</cp:lastPrinted>
  <dcterms:modified xsi:type="dcterms:W3CDTF">2024-06-23T03:46:48Z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8CC3CA1C186545AFB3608659B157D4BE_13</vt:lpwstr>
  </property>
</Properties>
</file>