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在第二届中国国际数字产品博览会举办情况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新闻通气会答记者问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3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刚才您提到本届数博会落实交易签约金额10.6亿元，意向成交金额387亿元，能详细介绍一下相关参展企业情况吗？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答：本届数博会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展区按照“数字化，网络化，可视化，智能化”的目标定位，设置7个数字化场景展区，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共组织132家国内外优质企业参展，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丰田、奔驰、华为、阿里巴巴、沃尔沃、小米、东芝等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7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家世界5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00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强企业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及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阿里巴巴、华为、小米、快手、小鹏、科大讯飞、大华技术、威马、海康威视等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余家中国5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00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强企业悉数登陆，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相比首届数博会，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参展企业更具行业领先性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展示规模更盛大、应用场景更丰富。此外，还将有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9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</w:rPr>
        <w:t>家高校、科研院所带来前沿数字技术和产业研究动态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二、我们知道本届数博会专业性是比较强的。那么想请问一下，有没有普通观众可以参与的优惠活动？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答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：本届数博会，我们同步打造了“云上数博会”专业化线上会展平台，我们在数博会平台上有发放专属消费券，这场活动大家都可以参与。活动具体是：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7月20日10点至8月20日，用户在云上数博指定商家选择云闪付支付方式付款即可立享满200元起8折优惠（最高400元）约10000份，总额200万元。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现在虽然线下的展会已经结束，但在我们同样可以通过微信小程序“数字中国建设峰会”的数博会板块继续参与到我们的活动。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三、本届数博会的亮点展品主要有哪些？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我这里举两个主要的特色展品品类。一是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引进冬奥会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黑科技产品。今年冬奥会上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火热出圈的“笨小宝”机器人，与消毒智能机器人、人体测温机器人、迎宾巡更机器人、智能访客机器人、智能接待机器人、光触媒空气消毒机器人、配送机器人等数字产品组成数博会最炫“打工人”团队，为数博会带来更加智慧便捷的互动体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二是首发数字产品头部企业最新科技产品。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阿里巴巴展台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集成达摩院人工智能和自动驾驶技术的物流机器人“小蛮驴”，华为首发与赛力斯联手打造的高端新能源汽车AITO问界M5；快手虚拟主播“关小芳”亮相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本届数博会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，并首次展出内容画像平台、智能内容的生成平台、音视频产品解决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方案等数字技术产品；小米12S Ultra也首次展出，以原汁原味徕卡影像、脱胎换骨旗舰芯带来移动影像新体验。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TFlMjA5NjZmNjAwYTMwOGVkNTRjOWNhNzZkYmMifQ=="/>
  </w:docVars>
  <w:rsids>
    <w:rsidRoot w:val="00000000"/>
    <w:rsid w:val="4A6A5CDB"/>
    <w:rsid w:val="5B57328D"/>
    <w:rsid w:val="5D0F3618"/>
    <w:rsid w:val="794770E9"/>
    <w:rsid w:val="7A785805"/>
    <w:rsid w:val="7F6D1C3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next w:val="4"/>
    <w:qFormat/>
    <w:uiPriority w:val="0"/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1"/>
    <w:qFormat/>
    <w:uiPriority w:val="0"/>
    <w:pPr>
      <w:ind w:firstLine="420" w:firstLineChars="200"/>
    </w:pPr>
    <w:rPr>
      <w:rFonts w:ascii="仿宋_GB2312" w:hAnsi="Times New Roman" w:eastAsia="仿宋_GB2312" w:cs="Times New Roman"/>
      <w:sz w:val="32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2685</Words>
  <Characters>2751</Characters>
  <Lines>0</Lines>
  <Paragraphs>0</Paragraphs>
  <TotalTime>0</TotalTime>
  <ScaleCrop>false</ScaleCrop>
  <LinksUpToDate>false</LinksUpToDate>
  <CharactersWithSpaces>2756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2022-07-26T10:44:27Z</dcterms:modified>
  <dc:title>在第二届中国国际数字产品博览会举办情况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189FC53430134DBB84B6EAAFE2CCB4D0</vt:lpwstr>
  </property>
</Properties>
</file>