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bidi w:val="0"/>
        <w:jc w:val="center"/>
        <w:rPr>
          <w:rFonts w:hint="eastAsia" w:ascii="宋体" w:hAnsi="宋体" w:eastAsia="宋体" w:cs="宋体"/>
          <w:sz w:val="44"/>
          <w:szCs w:val="44"/>
          <w:lang w:val="en-US" w:eastAsia="zh-CN"/>
        </w:rPr>
      </w:pPr>
    </w:p>
    <w:p>
      <w:pPr>
        <w:bidi w:val="0"/>
        <w:jc w:val="both"/>
        <w:rPr>
          <w:rFonts w:hint="eastAsia" w:ascii="宋体" w:hAnsi="宋体" w:eastAsia="宋体" w:cs="宋体"/>
          <w:sz w:val="44"/>
          <w:szCs w:val="44"/>
          <w:lang w:val="en-US" w:eastAsia="zh-CN"/>
        </w:rPr>
      </w:pPr>
    </w:p>
    <w:p>
      <w:pPr>
        <w:spacing w:before="41"/>
        <w:ind w:left="2" w:right="158" w:firstLine="0"/>
        <w:jc w:val="center"/>
        <w:rPr>
          <w:rFonts w:hint="eastAsia" w:ascii="宋体" w:hAnsi="宋体" w:eastAsia="宋体" w:cs="宋体"/>
          <w:color w:val="auto"/>
          <w:sz w:val="44"/>
          <w:szCs w:val="44"/>
          <w:lang w:val="en-US" w:eastAsia="zh-CN"/>
        </w:rPr>
      </w:pPr>
      <w:r>
        <w:rPr>
          <w:rFonts w:hint="eastAsia" w:ascii="宋体" w:hAnsi="宋体" w:cs="宋体"/>
          <w:color w:val="auto"/>
          <w:sz w:val="44"/>
          <w:szCs w:val="44"/>
          <w:lang w:val="en-US" w:eastAsia="zh-CN"/>
        </w:rPr>
        <w:t>福州城区电动自行车号牌管理办法</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楷体_GB2312" w:hAnsi="楷体_GB2312" w:eastAsia="楷体_GB2312" w:cs="楷体_GB2312"/>
          <w:i w:val="0"/>
          <w:caps w:val="0"/>
          <w:color w:val="333333"/>
          <w:spacing w:val="0"/>
          <w:sz w:val="32"/>
          <w:szCs w:val="32"/>
          <w:shd w:val="clear" w:color="auto" w:fill="FFFFFF"/>
          <w:lang w:val="en-US" w:eastAsia="zh-CN"/>
        </w:rPr>
      </w:pPr>
      <w:r>
        <w:rPr>
          <w:rFonts w:hint="eastAsia" w:ascii="楷体_GB2312" w:hAnsi="楷体_GB2312" w:eastAsia="楷体_GB2312" w:cs="楷体_GB2312"/>
          <w:i w:val="0"/>
          <w:caps w:val="0"/>
          <w:color w:val="333333"/>
          <w:spacing w:val="0"/>
          <w:sz w:val="32"/>
          <w:szCs w:val="32"/>
          <w:shd w:val="clear" w:color="auto" w:fill="FFFFFF"/>
          <w:lang w:val="en-US" w:eastAsia="zh-CN"/>
        </w:rPr>
        <w:t>（2022年12月13</w:t>
      </w:r>
      <w:bookmarkStart w:id="0" w:name="_GoBack"/>
      <w:bookmarkEnd w:id="0"/>
      <w:r>
        <w:rPr>
          <w:rFonts w:hint="eastAsia" w:ascii="楷体_GB2312" w:hAnsi="楷体_GB2312" w:eastAsia="楷体_GB2312" w:cs="楷体_GB2312"/>
          <w:i w:val="0"/>
          <w:caps w:val="0"/>
          <w:color w:val="333333"/>
          <w:spacing w:val="0"/>
          <w:sz w:val="32"/>
          <w:szCs w:val="32"/>
          <w:shd w:val="clear" w:color="auto" w:fill="FFFFFF"/>
          <w:lang w:val="en-US" w:eastAsia="zh-CN"/>
        </w:rPr>
        <w:t>日福州市人民政府令第83号公布  自2023年1月15日起施行）</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楷体_GB2312" w:hAnsi="楷体_GB2312" w:eastAsia="楷体_GB2312" w:cs="楷体_GB2312"/>
          <w:i w:val="0"/>
          <w:caps w:val="0"/>
          <w:color w:val="333333"/>
          <w:spacing w:val="0"/>
          <w:sz w:val="32"/>
          <w:szCs w:val="32"/>
          <w:shd w:val="clear" w:color="auto" w:fill="FFFFFF"/>
          <w:lang w:val="en-US" w:eastAsia="zh-CN"/>
        </w:rPr>
      </w:pPr>
    </w:p>
    <w:p>
      <w:pPr>
        <w:shd w:val="clear" w:color="auto" w:fill="FFFFFF"/>
        <w:spacing w:line="600" w:lineRule="exact"/>
        <w:ind w:firstLine="640" w:firstLineChars="200"/>
        <w:rPr>
          <w:rFonts w:ascii="仿宋" w:hAnsi="仿宋" w:eastAsia="仿宋" w:cs="仿宋"/>
          <w:kern w:val="0"/>
          <w:sz w:val="32"/>
          <w:szCs w:val="32"/>
        </w:rPr>
      </w:pPr>
      <w:r>
        <w:rPr>
          <w:rFonts w:hint="eastAsia" w:ascii="黑体" w:hAnsi="黑体" w:eastAsia="黑体" w:cs="黑体"/>
          <w:kern w:val="0"/>
          <w:sz w:val="32"/>
          <w:szCs w:val="32"/>
        </w:rPr>
        <w:t>第一条</w:t>
      </w:r>
      <w:r>
        <w:rPr>
          <w:rFonts w:hint="default" w:ascii="仿宋" w:hAnsi="仿宋" w:eastAsia="仿宋" w:cs="仿宋"/>
          <w:kern w:val="0"/>
          <w:sz w:val="32"/>
          <w:szCs w:val="32"/>
        </w:rPr>
        <w:t xml:space="preserve">  </w:t>
      </w:r>
      <w:r>
        <w:rPr>
          <w:rFonts w:hint="eastAsia" w:ascii="仿宋_GB2312" w:hAnsi="仿宋_GB2312" w:eastAsia="仿宋_GB2312" w:cs="仿宋_GB2312"/>
          <w:kern w:val="0"/>
          <w:sz w:val="32"/>
          <w:szCs w:val="32"/>
        </w:rPr>
        <w:t>为加强电动自行车管理，增强电动自行车驾驶人交通安全意识，维护道路交通秩序，根据《</w:t>
      </w:r>
      <w:r>
        <w:rPr>
          <w:rFonts w:hint="eastAsia" w:ascii="仿宋_GB2312" w:hAnsi="仿宋_GB2312" w:eastAsia="仿宋_GB2312" w:cs="仿宋_GB2312"/>
          <w:kern w:val="0"/>
          <w:sz w:val="32"/>
          <w:szCs w:val="32"/>
        </w:rPr>
        <w:fldChar w:fldCharType="begin"/>
      </w:r>
      <w:r>
        <w:rPr>
          <w:rFonts w:hint="eastAsia" w:ascii="仿宋_GB2312" w:hAnsi="仿宋_GB2312" w:eastAsia="仿宋_GB2312" w:cs="仿宋_GB2312"/>
          <w:kern w:val="0"/>
          <w:sz w:val="32"/>
          <w:szCs w:val="32"/>
        </w:rPr>
        <w:instrText xml:space="preserve">HYPERLINK "https://baike.baidu.com/item/%E4%B8%AD%E5%8D%8E%E4%BA%BA%E6%B0%91%E5%85%B1%E5%92%8C%E5%9B%BD%E9%81%93%E8%B7%AF%E4%BA%A4%E9%80%9A%E5%AE%89%E5%85%A8%E6%B3%95/149277" \t "_blank"</w:instrText>
      </w:r>
      <w:r>
        <w:rPr>
          <w:rFonts w:hint="eastAsia" w:ascii="仿宋_GB2312" w:hAnsi="仿宋_GB2312" w:eastAsia="仿宋_GB2312" w:cs="仿宋_GB2312"/>
          <w:kern w:val="0"/>
          <w:sz w:val="32"/>
          <w:szCs w:val="32"/>
        </w:rPr>
        <w:fldChar w:fldCharType="separate"/>
      </w:r>
      <w:r>
        <w:rPr>
          <w:rFonts w:hint="eastAsia" w:ascii="仿宋_GB2312" w:hAnsi="仿宋_GB2312" w:eastAsia="仿宋_GB2312" w:cs="仿宋_GB2312"/>
          <w:kern w:val="0"/>
          <w:sz w:val="32"/>
          <w:szCs w:val="32"/>
        </w:rPr>
        <w:t>中华人民共和国道路交通安全法</w:t>
      </w:r>
      <w:r>
        <w:rPr>
          <w:rFonts w:hint="eastAsia" w:ascii="仿宋_GB2312" w:hAnsi="仿宋_GB2312" w:eastAsia="仿宋_GB2312" w:cs="仿宋_GB2312"/>
          <w:kern w:val="0"/>
          <w:sz w:val="32"/>
          <w:szCs w:val="32"/>
        </w:rPr>
        <w:fldChar w:fldCharType="end"/>
      </w:r>
      <w:r>
        <w:rPr>
          <w:rFonts w:hint="eastAsia" w:ascii="仿宋_GB2312" w:hAnsi="仿宋_GB2312" w:eastAsia="仿宋_GB2312" w:cs="仿宋_GB2312"/>
          <w:kern w:val="0"/>
          <w:sz w:val="32"/>
          <w:szCs w:val="32"/>
        </w:rPr>
        <w:t>》《</w:t>
      </w:r>
      <w:r>
        <w:rPr>
          <w:rFonts w:hint="eastAsia" w:ascii="仿宋_GB2312" w:hAnsi="仿宋_GB2312" w:eastAsia="仿宋_GB2312" w:cs="仿宋_GB2312"/>
          <w:kern w:val="0"/>
          <w:sz w:val="32"/>
          <w:szCs w:val="32"/>
        </w:rPr>
        <w:fldChar w:fldCharType="begin"/>
      </w:r>
      <w:r>
        <w:rPr>
          <w:rFonts w:hint="eastAsia" w:ascii="仿宋_GB2312" w:hAnsi="仿宋_GB2312" w:eastAsia="仿宋_GB2312" w:cs="仿宋_GB2312"/>
          <w:kern w:val="0"/>
          <w:sz w:val="32"/>
          <w:szCs w:val="32"/>
        </w:rPr>
        <w:instrText xml:space="preserve">HYPERLINK "https://baike.baidu.com/item/%E7%A6%8F%E5%BB%BA%E7%9C%81%E9%9D%9E%E6%9C%BA%E5%8A%A8%E8%BD%A6%E7%AE%A1%E7%90%86%E5%8A%9E%E6%B3%95/13973592" \t "_blank"</w:instrText>
      </w:r>
      <w:r>
        <w:rPr>
          <w:rFonts w:hint="eastAsia" w:ascii="仿宋_GB2312" w:hAnsi="仿宋_GB2312" w:eastAsia="仿宋_GB2312" w:cs="仿宋_GB2312"/>
          <w:kern w:val="0"/>
          <w:sz w:val="32"/>
          <w:szCs w:val="32"/>
        </w:rPr>
        <w:fldChar w:fldCharType="separate"/>
      </w:r>
      <w:r>
        <w:rPr>
          <w:rFonts w:hint="eastAsia" w:ascii="仿宋_GB2312" w:hAnsi="仿宋_GB2312" w:eastAsia="仿宋_GB2312" w:cs="仿宋_GB2312"/>
          <w:kern w:val="0"/>
          <w:sz w:val="32"/>
          <w:szCs w:val="32"/>
        </w:rPr>
        <w:t>福建省非机动车管理办法</w:t>
      </w:r>
      <w:r>
        <w:rPr>
          <w:rFonts w:hint="eastAsia" w:ascii="仿宋_GB2312" w:hAnsi="仿宋_GB2312" w:eastAsia="仿宋_GB2312" w:cs="仿宋_GB2312"/>
          <w:kern w:val="0"/>
          <w:sz w:val="32"/>
          <w:szCs w:val="32"/>
        </w:rPr>
        <w:fldChar w:fldCharType="end"/>
      </w:r>
      <w:r>
        <w:rPr>
          <w:rFonts w:hint="eastAsia" w:ascii="仿宋_GB2312" w:hAnsi="仿宋_GB2312" w:eastAsia="仿宋_GB2312" w:cs="仿宋_GB2312"/>
          <w:kern w:val="0"/>
          <w:sz w:val="32"/>
          <w:szCs w:val="32"/>
        </w:rPr>
        <w:t>》等规定，结合我市道路交通实际，制定本办法。</w:t>
      </w:r>
    </w:p>
    <w:p>
      <w:pPr>
        <w:shd w:val="clear" w:color="auto" w:fill="FFFFFF"/>
        <w:spacing w:line="600" w:lineRule="exact"/>
        <w:ind w:firstLine="640" w:firstLineChars="200"/>
        <w:rPr>
          <w:rFonts w:hint="eastAsia" w:ascii="仿宋_GB2312" w:hAnsi="仿宋_GB2312" w:eastAsia="仿宋_GB2312" w:cs="仿宋_GB2312"/>
          <w:kern w:val="0"/>
          <w:sz w:val="32"/>
          <w:szCs w:val="32"/>
        </w:rPr>
      </w:pPr>
      <w:r>
        <w:rPr>
          <w:rFonts w:hint="eastAsia" w:ascii="黑体" w:hAnsi="黑体" w:eastAsia="黑体" w:cs="黑体"/>
          <w:kern w:val="0"/>
          <w:sz w:val="32"/>
          <w:szCs w:val="32"/>
        </w:rPr>
        <w:t>第二条</w:t>
      </w:r>
      <w:r>
        <w:rPr>
          <w:rFonts w:hint="eastAsia" w:ascii="仿宋" w:hAnsi="仿宋" w:eastAsia="仿宋" w:cs="仿宋"/>
          <w:kern w:val="0"/>
          <w:sz w:val="32"/>
          <w:szCs w:val="32"/>
        </w:rPr>
        <w:t xml:space="preserve"> </w:t>
      </w:r>
      <w:r>
        <w:rPr>
          <w:rFonts w:hint="default" w:ascii="仿宋" w:hAnsi="仿宋" w:eastAsia="仿宋" w:cs="仿宋"/>
          <w:kern w:val="0"/>
          <w:sz w:val="32"/>
          <w:szCs w:val="32"/>
        </w:rPr>
        <w:t xml:space="preserve"> </w:t>
      </w:r>
      <w:r>
        <w:rPr>
          <w:rFonts w:hint="eastAsia" w:ascii="仿宋_GB2312" w:hAnsi="仿宋_GB2312" w:eastAsia="仿宋_GB2312" w:cs="仿宋_GB2312"/>
          <w:kern w:val="0"/>
          <w:sz w:val="32"/>
          <w:szCs w:val="32"/>
        </w:rPr>
        <w:t>本办法适用于五城区电动自行车赋码数字化管理、黄色号牌附加标识使用管理；全市行政区域范围内电动自行车驾驶人和乘坐人佩戴安全头盔管理。</w:t>
      </w:r>
    </w:p>
    <w:p>
      <w:pPr>
        <w:shd w:val="clear" w:color="auto" w:fill="FFFFFF"/>
        <w:spacing w:line="600" w:lineRule="exact"/>
        <w:ind w:firstLine="640" w:firstLineChars="20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本办法所称五城区是指鼓楼区、台江区、仓山区、晋安区、马尾区。</w:t>
      </w:r>
    </w:p>
    <w:p>
      <w:pPr>
        <w:shd w:val="clear" w:color="auto" w:fill="FFFFFF"/>
        <w:spacing w:line="600" w:lineRule="exact"/>
        <w:ind w:firstLine="640" w:firstLineChars="200"/>
        <w:rPr>
          <w:rFonts w:hint="eastAsia" w:ascii="仿宋_GB2312" w:hAnsi="仿宋_GB2312" w:eastAsia="仿宋_GB2312" w:cs="仿宋_GB2312"/>
          <w:kern w:val="0"/>
          <w:sz w:val="32"/>
          <w:szCs w:val="32"/>
        </w:rPr>
      </w:pPr>
      <w:r>
        <w:rPr>
          <w:rFonts w:hint="eastAsia" w:ascii="黑体" w:hAnsi="黑体" w:eastAsia="黑体" w:cs="黑体"/>
          <w:kern w:val="0"/>
          <w:sz w:val="32"/>
          <w:szCs w:val="32"/>
        </w:rPr>
        <w:t>第三条</w:t>
      </w:r>
      <w:r>
        <w:rPr>
          <w:rFonts w:hint="eastAsia" w:ascii="仿宋_GB2312" w:hAnsi="仿宋_GB2312" w:eastAsia="仿宋_GB2312" w:cs="仿宋_GB2312"/>
          <w:kern w:val="0"/>
          <w:sz w:val="32"/>
          <w:szCs w:val="32"/>
        </w:rPr>
        <w:t xml:space="preserve"> </w:t>
      </w:r>
      <w:r>
        <w:rPr>
          <w:rFonts w:hint="default" w:cs="仿宋_GB2312"/>
          <w:kern w:val="0"/>
          <w:sz w:val="32"/>
          <w:szCs w:val="32"/>
        </w:rPr>
        <w:t xml:space="preserve"> </w:t>
      </w:r>
      <w:r>
        <w:rPr>
          <w:rFonts w:hint="eastAsia" w:ascii="仿宋_GB2312" w:hAnsi="仿宋_GB2312" w:eastAsia="仿宋_GB2312" w:cs="仿宋_GB2312"/>
          <w:kern w:val="0"/>
          <w:sz w:val="32"/>
          <w:szCs w:val="32"/>
        </w:rPr>
        <w:t>公安交通、大数据管理、交通运输、城市管理、市场监督管理、工业和信息化、生态环境、自然资源和规划、住房保障和房产管理、应急管理、城乡建设、商务、邮政管理等部门和消防救援机构应当健全共治机制，定期公布城区电动自行车违法情况，倡导电动自行车文明出行。</w:t>
      </w:r>
    </w:p>
    <w:p>
      <w:pPr>
        <w:shd w:val="clear" w:color="auto" w:fill="FFFFFF"/>
        <w:spacing w:line="600" w:lineRule="exact"/>
        <w:ind w:firstLine="640" w:firstLineChars="200"/>
        <w:rPr>
          <w:rFonts w:ascii="仿宋" w:hAnsi="仿宋" w:eastAsia="仿宋" w:cs="仿宋"/>
          <w:kern w:val="0"/>
          <w:sz w:val="32"/>
          <w:szCs w:val="32"/>
        </w:rPr>
      </w:pPr>
      <w:r>
        <w:rPr>
          <w:rFonts w:hint="eastAsia" w:ascii="黑体" w:hAnsi="黑体" w:eastAsia="黑体" w:cs="黑体"/>
          <w:kern w:val="0"/>
          <w:sz w:val="32"/>
          <w:szCs w:val="32"/>
        </w:rPr>
        <w:t>第四条</w:t>
      </w:r>
      <w:r>
        <w:rPr>
          <w:rFonts w:hint="default" w:ascii="黑体" w:hAnsi="黑体" w:eastAsia="黑体" w:cs="黑体"/>
          <w:kern w:val="0"/>
          <w:sz w:val="32"/>
          <w:szCs w:val="32"/>
        </w:rPr>
        <w:t xml:space="preserve"> </w:t>
      </w:r>
      <w:r>
        <w:rPr>
          <w:rFonts w:hint="eastAsia" w:ascii="仿宋" w:hAnsi="仿宋" w:eastAsia="仿宋" w:cs="仿宋"/>
          <w:kern w:val="0"/>
          <w:sz w:val="32"/>
          <w:szCs w:val="32"/>
        </w:rPr>
        <w:t xml:space="preserve"> </w:t>
      </w:r>
      <w:r>
        <w:rPr>
          <w:rFonts w:hint="eastAsia" w:ascii="仿宋_GB2312" w:hAnsi="仿宋_GB2312" w:eastAsia="仿宋_GB2312" w:cs="仿宋_GB2312"/>
          <w:kern w:val="0"/>
          <w:sz w:val="32"/>
          <w:szCs w:val="32"/>
        </w:rPr>
        <w:t>电动自行车生产、销售、登记、骑行、停放、维修、回收等环节实行全生命周期“三码三芯片”（车架、电池和车牌均赋上“二维码+芯片”）数字化追溯链全闭环管理。具体实施细则由公安交通、市场监督管理、工业和信息化、城市管理、生态环境、商务等部门和消防救援机构共同制定，并向社会公布。</w:t>
      </w:r>
    </w:p>
    <w:p>
      <w:pPr>
        <w:shd w:val="clear" w:color="auto" w:fill="FFFFFF"/>
        <w:spacing w:line="600" w:lineRule="exact"/>
        <w:ind w:firstLine="640" w:firstLineChars="200"/>
        <w:rPr>
          <w:rFonts w:hint="eastAsia" w:ascii="仿宋_GB2312" w:hAnsi="仿宋_GB2312" w:eastAsia="仿宋_GB2312" w:cs="仿宋_GB2312"/>
          <w:kern w:val="0"/>
          <w:sz w:val="32"/>
          <w:szCs w:val="32"/>
        </w:rPr>
      </w:pPr>
      <w:r>
        <w:rPr>
          <w:rFonts w:hint="eastAsia" w:ascii="黑体" w:hAnsi="黑体" w:eastAsia="黑体" w:cs="黑体"/>
          <w:kern w:val="0"/>
          <w:sz w:val="32"/>
          <w:szCs w:val="32"/>
        </w:rPr>
        <w:t>第五条</w:t>
      </w:r>
      <w:r>
        <w:rPr>
          <w:rFonts w:hint="eastAsia" w:ascii="仿宋_GB2312" w:hAnsi="仿宋_GB2312" w:eastAsia="仿宋_GB2312" w:cs="仿宋_GB2312"/>
          <w:kern w:val="0"/>
          <w:sz w:val="32"/>
          <w:szCs w:val="32"/>
        </w:rPr>
        <w:t xml:space="preserve"> </w:t>
      </w:r>
      <w:r>
        <w:rPr>
          <w:rFonts w:hint="default" w:cs="仿宋_GB2312"/>
          <w:kern w:val="0"/>
          <w:sz w:val="32"/>
          <w:szCs w:val="32"/>
        </w:rPr>
        <w:t xml:space="preserve"> </w:t>
      </w:r>
      <w:r>
        <w:rPr>
          <w:rFonts w:hint="eastAsia" w:ascii="仿宋_GB2312" w:hAnsi="仿宋_GB2312" w:eastAsia="仿宋_GB2312" w:cs="仿宋_GB2312"/>
          <w:kern w:val="0"/>
          <w:sz w:val="32"/>
          <w:szCs w:val="32"/>
        </w:rPr>
        <w:t>公安机关交通管理部门对黄色号牌电动自行车实行教育引导式动态管理。依据五城区电动自行车交通安全、道路停放和消防安全违法情况，附加使用绿色和红色两种颜色标识。绿色标识、红色标识免费更换。</w:t>
      </w:r>
    </w:p>
    <w:p>
      <w:pPr>
        <w:shd w:val="clear" w:color="auto" w:fill="FFFFFF"/>
        <w:spacing w:line="600" w:lineRule="exact"/>
        <w:ind w:firstLine="640" w:firstLineChars="20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绿色标识，适用于一年以上无交通安全、道路停放和消防安全违法的黄色号牌电动自行车。</w:t>
      </w:r>
    </w:p>
    <w:p>
      <w:pPr>
        <w:shd w:val="clear" w:color="auto" w:fill="FFFFFF"/>
        <w:spacing w:line="600" w:lineRule="exact"/>
        <w:ind w:firstLine="640" w:firstLineChars="20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红色标识，适用于具有下列情形之一的黄色号牌电动自行车：</w:t>
      </w:r>
    </w:p>
    <w:p>
      <w:pPr>
        <w:shd w:val="clear" w:color="auto" w:fill="FFFFFF"/>
        <w:spacing w:line="600" w:lineRule="exact"/>
        <w:ind w:firstLine="640" w:firstLineChars="20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（一）一个季度内累计两起及以上交通安全、道路停放或消防安全违法；</w:t>
      </w:r>
    </w:p>
    <w:p>
      <w:pPr>
        <w:shd w:val="clear" w:color="auto" w:fill="FFFFFF"/>
        <w:spacing w:line="600" w:lineRule="exact"/>
        <w:ind w:firstLine="640" w:firstLineChars="20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（二）一年内累计三起及以上交通安全、道路停放或消防安全违法。</w:t>
      </w:r>
    </w:p>
    <w:p>
      <w:pPr>
        <w:shd w:val="clear" w:color="auto" w:fill="FFFFFF"/>
        <w:spacing w:line="600" w:lineRule="exact"/>
        <w:ind w:firstLine="640" w:firstLineChars="200"/>
        <w:rPr>
          <w:rFonts w:hint="eastAsia" w:ascii="仿宋_GB2312" w:hAnsi="仿宋_GB2312" w:eastAsia="仿宋_GB2312" w:cs="仿宋_GB2312"/>
          <w:kern w:val="0"/>
          <w:sz w:val="32"/>
          <w:szCs w:val="32"/>
        </w:rPr>
      </w:pPr>
      <w:r>
        <w:rPr>
          <w:rFonts w:hint="eastAsia" w:ascii="黑体" w:hAnsi="黑体" w:eastAsia="黑体" w:cs="黑体"/>
          <w:kern w:val="0"/>
          <w:sz w:val="32"/>
          <w:szCs w:val="32"/>
        </w:rPr>
        <w:t>第六条</w:t>
      </w:r>
      <w:r>
        <w:rPr>
          <w:rFonts w:hint="eastAsia" w:ascii="仿宋_GB2312" w:hAnsi="仿宋_GB2312" w:eastAsia="仿宋_GB2312" w:cs="仿宋_GB2312"/>
          <w:kern w:val="0"/>
          <w:sz w:val="32"/>
          <w:szCs w:val="32"/>
        </w:rPr>
        <w:t xml:space="preserve"> </w:t>
      </w:r>
      <w:r>
        <w:rPr>
          <w:rFonts w:hint="default" w:cs="仿宋_GB2312"/>
          <w:kern w:val="0"/>
          <w:sz w:val="32"/>
          <w:szCs w:val="32"/>
        </w:rPr>
        <w:t xml:space="preserve"> </w:t>
      </w:r>
      <w:r>
        <w:rPr>
          <w:rFonts w:hint="eastAsia" w:ascii="仿宋_GB2312" w:hAnsi="仿宋_GB2312" w:eastAsia="仿宋_GB2312" w:cs="仿宋_GB2312"/>
          <w:kern w:val="0"/>
          <w:sz w:val="32"/>
          <w:szCs w:val="32"/>
        </w:rPr>
        <w:t>具有下列情形的，取消标识：</w:t>
      </w:r>
    </w:p>
    <w:p>
      <w:pPr>
        <w:shd w:val="clear" w:color="auto" w:fill="FFFFFF"/>
        <w:spacing w:line="600" w:lineRule="exact"/>
        <w:ind w:firstLine="640" w:firstLineChars="20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（一）绿色标识的电动自行车使用中存在交通安全、道路停放</w:t>
      </w:r>
      <w:r>
        <w:rPr>
          <w:rFonts w:hint="eastAsia" w:cs="仿宋_GB2312"/>
          <w:kern w:val="0"/>
          <w:sz w:val="32"/>
          <w:szCs w:val="32"/>
          <w:lang w:eastAsia="zh-CN"/>
        </w:rPr>
        <w:t>或</w:t>
      </w:r>
      <w:r>
        <w:rPr>
          <w:rFonts w:hint="eastAsia" w:ascii="仿宋_GB2312" w:hAnsi="仿宋_GB2312" w:eastAsia="仿宋_GB2312" w:cs="仿宋_GB2312"/>
          <w:kern w:val="0"/>
          <w:sz w:val="32"/>
          <w:szCs w:val="32"/>
        </w:rPr>
        <w:t>消防安全违法的；</w:t>
      </w:r>
    </w:p>
    <w:p>
      <w:pPr>
        <w:shd w:val="clear" w:color="auto" w:fill="FFFFFF"/>
        <w:spacing w:line="600" w:lineRule="exact"/>
        <w:ind w:firstLine="640" w:firstLineChars="20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（二）红色标识的电动自行车使用满一年以上未存在交通安全、道路停放和消防安全违法的。</w:t>
      </w:r>
    </w:p>
    <w:p>
      <w:pPr>
        <w:shd w:val="clear" w:color="auto" w:fill="FFFFFF"/>
        <w:spacing w:line="600" w:lineRule="exact"/>
        <w:ind w:firstLine="640" w:firstLineChars="200"/>
        <w:rPr>
          <w:rFonts w:hint="eastAsia" w:ascii="仿宋_GB2312" w:hAnsi="仿宋_GB2312" w:eastAsia="仿宋_GB2312" w:cs="仿宋_GB2312"/>
          <w:kern w:val="0"/>
          <w:sz w:val="32"/>
          <w:szCs w:val="32"/>
        </w:rPr>
      </w:pPr>
      <w:r>
        <w:rPr>
          <w:rFonts w:hint="eastAsia" w:ascii="黑体" w:hAnsi="黑体" w:eastAsia="黑体" w:cs="黑体"/>
          <w:kern w:val="0"/>
          <w:sz w:val="32"/>
          <w:szCs w:val="32"/>
        </w:rPr>
        <w:t>第七条</w:t>
      </w:r>
      <w:r>
        <w:rPr>
          <w:rFonts w:hint="eastAsia" w:ascii="仿宋_GB2312" w:hAnsi="仿宋_GB2312" w:eastAsia="仿宋_GB2312" w:cs="仿宋_GB2312"/>
          <w:kern w:val="0"/>
          <w:sz w:val="32"/>
          <w:szCs w:val="32"/>
        </w:rPr>
        <w:t xml:space="preserve"> </w:t>
      </w:r>
      <w:r>
        <w:rPr>
          <w:rFonts w:hint="default" w:cs="仿宋_GB2312"/>
          <w:kern w:val="0"/>
          <w:sz w:val="32"/>
          <w:szCs w:val="32"/>
        </w:rPr>
        <w:t xml:space="preserve"> </w:t>
      </w:r>
      <w:r>
        <w:rPr>
          <w:rFonts w:hint="eastAsia" w:ascii="仿宋_GB2312" w:hAnsi="仿宋_GB2312" w:eastAsia="仿宋_GB2312" w:cs="仿宋_GB2312"/>
          <w:kern w:val="0"/>
          <w:sz w:val="32"/>
          <w:szCs w:val="32"/>
        </w:rPr>
        <w:t>黄色号牌电动自行车使用过程中具有下列情形之一的，公安机关交通管理部门不予办理号牌延期：</w:t>
      </w:r>
    </w:p>
    <w:p>
      <w:pPr>
        <w:shd w:val="clear" w:color="auto" w:fill="FFFFFF"/>
        <w:spacing w:line="600" w:lineRule="exact"/>
        <w:ind w:firstLine="640" w:firstLineChars="20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（一）所有人户籍迁出福州超过六个月的；</w:t>
      </w:r>
    </w:p>
    <w:p>
      <w:pPr>
        <w:shd w:val="clear" w:color="auto" w:fill="FFFFFF"/>
        <w:spacing w:line="600" w:lineRule="exact"/>
        <w:ind w:firstLine="640" w:firstLineChars="20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（二）所有人居住证使用功能中止超过六个月的；</w:t>
      </w:r>
    </w:p>
    <w:p>
      <w:pPr>
        <w:shd w:val="clear" w:color="auto" w:fill="FFFFFF"/>
        <w:spacing w:line="600" w:lineRule="exact"/>
        <w:ind w:firstLine="640" w:firstLineChars="20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（三）红色标识的电动自行车违反限行规定，经警告一次后再次违反规定的；</w:t>
      </w:r>
    </w:p>
    <w:p>
      <w:pPr>
        <w:shd w:val="clear" w:color="auto" w:fill="FFFFFF"/>
        <w:spacing w:line="600" w:lineRule="exact"/>
        <w:ind w:firstLine="640" w:firstLineChars="20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（四）红色标识的电动自行车交通安全、道路停放或消防安全违法数量年度累计两起及以上的；</w:t>
      </w:r>
    </w:p>
    <w:p>
      <w:pPr>
        <w:shd w:val="clear" w:color="auto" w:fill="FFFFFF"/>
        <w:spacing w:line="600" w:lineRule="exact"/>
        <w:ind w:firstLine="640" w:firstLineChars="20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（五）故意破坏或拆除电动自行车“三码三芯片”的；</w:t>
      </w:r>
    </w:p>
    <w:p>
      <w:pPr>
        <w:shd w:val="clear" w:color="auto" w:fill="FFFFFF"/>
        <w:spacing w:line="600" w:lineRule="exact"/>
        <w:ind w:firstLine="640" w:firstLineChars="20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（六）以欺骗等不正当手段补领、申领黄色号牌的。</w:t>
      </w:r>
    </w:p>
    <w:p>
      <w:pPr>
        <w:shd w:val="clear" w:color="auto" w:fill="FFFFFF"/>
        <w:spacing w:line="600" w:lineRule="exact"/>
        <w:ind w:firstLine="640" w:firstLineChars="200"/>
        <w:rPr>
          <w:rFonts w:hint="eastAsia" w:ascii="仿宋_GB2312" w:hAnsi="仿宋_GB2312" w:eastAsia="仿宋_GB2312" w:cs="仿宋_GB2312"/>
          <w:kern w:val="0"/>
          <w:sz w:val="32"/>
          <w:szCs w:val="32"/>
        </w:rPr>
      </w:pPr>
      <w:r>
        <w:rPr>
          <w:rFonts w:hint="eastAsia" w:ascii="黑体" w:hAnsi="黑体" w:eastAsia="黑体" w:cs="黑体"/>
          <w:kern w:val="0"/>
          <w:sz w:val="32"/>
          <w:szCs w:val="32"/>
        </w:rPr>
        <w:t>第八条</w:t>
      </w:r>
      <w:r>
        <w:rPr>
          <w:rFonts w:hint="eastAsia" w:ascii="仿宋_GB2312" w:hAnsi="仿宋_GB2312" w:eastAsia="仿宋_GB2312" w:cs="仿宋_GB2312"/>
          <w:kern w:val="0"/>
          <w:sz w:val="32"/>
          <w:szCs w:val="32"/>
        </w:rPr>
        <w:t xml:space="preserve"> </w:t>
      </w:r>
      <w:r>
        <w:rPr>
          <w:rFonts w:hint="default" w:cs="仿宋_GB2312"/>
          <w:kern w:val="0"/>
          <w:sz w:val="32"/>
          <w:szCs w:val="32"/>
        </w:rPr>
        <w:t xml:space="preserve"> </w:t>
      </w:r>
      <w:r>
        <w:rPr>
          <w:rFonts w:hint="eastAsia" w:ascii="仿宋_GB2312" w:hAnsi="仿宋_GB2312" w:eastAsia="仿宋_GB2312" w:cs="仿宋_GB2312"/>
          <w:kern w:val="0"/>
          <w:sz w:val="32"/>
          <w:szCs w:val="32"/>
        </w:rPr>
        <w:t>电动自行车所有人应当及时按照公安机关交通管理部门要求附加红色标识。</w:t>
      </w:r>
    </w:p>
    <w:p>
      <w:pPr>
        <w:shd w:val="clear" w:color="auto" w:fill="FFFFFF"/>
        <w:spacing w:line="600" w:lineRule="exact"/>
        <w:ind w:firstLine="640" w:firstLineChars="200"/>
        <w:rPr>
          <w:rFonts w:hint="eastAsia" w:ascii="仿宋_GB2312" w:hAnsi="仿宋_GB2312" w:eastAsia="仿宋_GB2312" w:cs="仿宋_GB2312"/>
          <w:kern w:val="0"/>
          <w:sz w:val="32"/>
          <w:szCs w:val="32"/>
        </w:rPr>
      </w:pPr>
      <w:r>
        <w:rPr>
          <w:rFonts w:hint="eastAsia" w:ascii="黑体" w:hAnsi="黑体" w:eastAsia="黑体" w:cs="黑体"/>
          <w:kern w:val="0"/>
          <w:sz w:val="32"/>
          <w:szCs w:val="32"/>
        </w:rPr>
        <w:t>第九条</w:t>
      </w:r>
      <w:r>
        <w:rPr>
          <w:rFonts w:hint="eastAsia" w:ascii="仿宋_GB2312" w:hAnsi="仿宋_GB2312" w:eastAsia="仿宋_GB2312" w:cs="仿宋_GB2312"/>
          <w:kern w:val="0"/>
          <w:sz w:val="32"/>
          <w:szCs w:val="32"/>
        </w:rPr>
        <w:t xml:space="preserve"> </w:t>
      </w:r>
      <w:r>
        <w:rPr>
          <w:rFonts w:hint="default" w:cs="仿宋_GB2312"/>
          <w:kern w:val="0"/>
          <w:sz w:val="32"/>
          <w:szCs w:val="32"/>
        </w:rPr>
        <w:t xml:space="preserve"> </w:t>
      </w:r>
      <w:r>
        <w:rPr>
          <w:rFonts w:hint="eastAsia" w:ascii="仿宋_GB2312" w:hAnsi="仿宋_GB2312" w:eastAsia="仿宋_GB2312" w:cs="仿宋_GB2312"/>
          <w:kern w:val="0"/>
          <w:sz w:val="32"/>
          <w:szCs w:val="32"/>
        </w:rPr>
        <w:t>绿色、红色标识使用规则、更新车辆、限制通行等奖惩管理具体规定由市公安机关交通管理、市城市管理部门和市消防救援机构另行制定，并向社会公布。</w:t>
      </w:r>
    </w:p>
    <w:p>
      <w:pPr>
        <w:shd w:val="clear" w:color="auto" w:fill="FFFFFF"/>
        <w:spacing w:line="600" w:lineRule="exact"/>
        <w:ind w:firstLine="640" w:firstLineChars="200"/>
        <w:rPr>
          <w:rFonts w:hint="eastAsia" w:ascii="仿宋_GB2312" w:hAnsi="仿宋_GB2312" w:eastAsia="仿宋_GB2312" w:cs="仿宋_GB2312"/>
          <w:kern w:val="0"/>
          <w:sz w:val="32"/>
          <w:szCs w:val="32"/>
        </w:rPr>
      </w:pPr>
      <w:r>
        <w:rPr>
          <w:rFonts w:hint="eastAsia" w:ascii="黑体" w:hAnsi="黑体" w:eastAsia="黑体" w:cs="黑体"/>
          <w:kern w:val="0"/>
          <w:sz w:val="32"/>
          <w:szCs w:val="32"/>
        </w:rPr>
        <w:t>第十条</w:t>
      </w:r>
      <w:r>
        <w:rPr>
          <w:rFonts w:hint="eastAsia" w:ascii="仿宋_GB2312" w:hAnsi="仿宋_GB2312" w:eastAsia="仿宋_GB2312" w:cs="仿宋_GB2312"/>
          <w:kern w:val="0"/>
          <w:sz w:val="32"/>
          <w:szCs w:val="32"/>
        </w:rPr>
        <w:t xml:space="preserve"> </w:t>
      </w:r>
      <w:r>
        <w:rPr>
          <w:rFonts w:hint="default" w:cs="仿宋_GB2312"/>
          <w:kern w:val="0"/>
          <w:sz w:val="32"/>
          <w:szCs w:val="32"/>
        </w:rPr>
        <w:t xml:space="preserve"> </w:t>
      </w:r>
      <w:r>
        <w:rPr>
          <w:rFonts w:hint="eastAsia" w:ascii="仿宋_GB2312" w:hAnsi="仿宋_GB2312" w:eastAsia="仿宋_GB2312" w:cs="仿宋_GB2312"/>
          <w:kern w:val="0"/>
          <w:sz w:val="32"/>
          <w:szCs w:val="32"/>
        </w:rPr>
        <w:t>市市场监督主管部门应当加强电动自行车质量监督检查，严格查处销售未经强制性产品认证的电动自行车或经营性拼装、加装、改装电动自行车的违法行为。</w:t>
      </w:r>
    </w:p>
    <w:p>
      <w:pPr>
        <w:shd w:val="clear" w:color="auto" w:fill="FFFFFF"/>
        <w:spacing w:line="600" w:lineRule="exact"/>
        <w:ind w:firstLine="640" w:firstLineChars="200"/>
        <w:rPr>
          <w:rFonts w:hint="eastAsia" w:ascii="仿宋_GB2312" w:hAnsi="仿宋_GB2312" w:eastAsia="仿宋_GB2312" w:cs="仿宋_GB2312"/>
          <w:kern w:val="0"/>
          <w:sz w:val="32"/>
          <w:szCs w:val="32"/>
        </w:rPr>
      </w:pPr>
      <w:r>
        <w:rPr>
          <w:rFonts w:hint="eastAsia" w:ascii="黑体" w:hAnsi="黑体" w:eastAsia="黑体" w:cs="黑体"/>
          <w:kern w:val="0"/>
          <w:sz w:val="32"/>
          <w:szCs w:val="32"/>
        </w:rPr>
        <w:t>第十一条</w:t>
      </w:r>
      <w:r>
        <w:rPr>
          <w:rFonts w:hint="default" w:cs="仿宋_GB2312"/>
          <w:kern w:val="0"/>
          <w:sz w:val="32"/>
          <w:szCs w:val="32"/>
        </w:rPr>
        <w:t xml:space="preserve">  </w:t>
      </w:r>
      <w:r>
        <w:rPr>
          <w:rFonts w:hint="eastAsia" w:ascii="仿宋_GB2312" w:hAnsi="仿宋_GB2312" w:eastAsia="仿宋_GB2312" w:cs="仿宋_GB2312"/>
          <w:kern w:val="0"/>
          <w:sz w:val="32"/>
          <w:szCs w:val="32"/>
        </w:rPr>
        <w:t>电动自行车的驾驶人和乘坐人应当佩戴安全头盔。</w:t>
      </w:r>
    </w:p>
    <w:p>
      <w:pPr>
        <w:shd w:val="clear" w:color="auto" w:fill="FFFFFF"/>
        <w:spacing w:line="600" w:lineRule="exact"/>
        <w:ind w:firstLine="640" w:firstLineChars="200"/>
        <w:rPr>
          <w:rFonts w:hint="eastAsia" w:ascii="仿宋_GB2312" w:hAnsi="仿宋_GB2312" w:eastAsia="仿宋_GB2312" w:cs="仿宋_GB2312"/>
          <w:kern w:val="0"/>
          <w:sz w:val="32"/>
          <w:szCs w:val="32"/>
        </w:rPr>
      </w:pPr>
      <w:r>
        <w:rPr>
          <w:rFonts w:hint="eastAsia" w:ascii="黑体" w:hAnsi="黑体" w:eastAsia="黑体" w:cs="黑体"/>
          <w:kern w:val="0"/>
          <w:sz w:val="32"/>
          <w:szCs w:val="32"/>
        </w:rPr>
        <w:t>第十二条</w:t>
      </w:r>
      <w:r>
        <w:rPr>
          <w:rFonts w:hint="eastAsia" w:ascii="仿宋_GB2312" w:hAnsi="仿宋_GB2312" w:eastAsia="仿宋_GB2312" w:cs="仿宋_GB2312"/>
          <w:kern w:val="0"/>
          <w:sz w:val="32"/>
          <w:szCs w:val="32"/>
        </w:rPr>
        <w:t xml:space="preserve"> </w:t>
      </w:r>
      <w:r>
        <w:rPr>
          <w:rFonts w:hint="default" w:cs="仿宋_GB2312"/>
          <w:kern w:val="0"/>
          <w:sz w:val="32"/>
          <w:szCs w:val="32"/>
        </w:rPr>
        <w:t xml:space="preserve"> </w:t>
      </w:r>
      <w:r>
        <w:rPr>
          <w:rFonts w:hint="eastAsia" w:ascii="仿宋_GB2312" w:hAnsi="仿宋_GB2312" w:eastAsia="仿宋_GB2312" w:cs="仿宋_GB2312"/>
          <w:kern w:val="0"/>
          <w:sz w:val="32"/>
          <w:szCs w:val="32"/>
        </w:rPr>
        <w:t>从事外卖寄递服务的电动自行车应当悬挂服务行业号段黄色号牌。</w:t>
      </w:r>
    </w:p>
    <w:p>
      <w:pPr>
        <w:shd w:val="clear" w:color="auto" w:fill="FFFFFF"/>
        <w:spacing w:line="600" w:lineRule="exact"/>
        <w:ind w:firstLine="640" w:firstLineChars="200"/>
        <w:rPr>
          <w:rFonts w:hint="eastAsia" w:ascii="仿宋_GB2312" w:hAnsi="仿宋_GB2312" w:eastAsia="仿宋_GB2312" w:cs="仿宋_GB2312"/>
          <w:kern w:val="0"/>
          <w:sz w:val="32"/>
          <w:szCs w:val="32"/>
        </w:rPr>
      </w:pPr>
      <w:r>
        <w:rPr>
          <w:rFonts w:hint="eastAsia" w:ascii="黑体" w:hAnsi="黑体" w:eastAsia="黑体" w:cs="黑体"/>
          <w:kern w:val="0"/>
          <w:sz w:val="32"/>
          <w:szCs w:val="32"/>
        </w:rPr>
        <w:t>第十三条</w:t>
      </w:r>
      <w:r>
        <w:rPr>
          <w:rFonts w:hint="default" w:ascii="黑体" w:hAnsi="黑体" w:eastAsia="黑体" w:cs="黑体"/>
          <w:kern w:val="0"/>
          <w:sz w:val="32"/>
          <w:szCs w:val="32"/>
        </w:rPr>
        <w:t xml:space="preserve"> </w:t>
      </w:r>
      <w:r>
        <w:rPr>
          <w:rFonts w:hint="eastAsia" w:ascii="仿宋_GB2312" w:hAnsi="仿宋_GB2312" w:eastAsia="仿宋_GB2312" w:cs="仿宋_GB2312"/>
          <w:kern w:val="0"/>
          <w:sz w:val="32"/>
          <w:szCs w:val="32"/>
        </w:rPr>
        <w:t xml:space="preserve"> 驾驶电动自行车上道路行驶，应当随车携带行驶证。电子行驶证与纸质行驶证具有同等法律效力。</w:t>
      </w:r>
    </w:p>
    <w:p>
      <w:pPr>
        <w:shd w:val="clear" w:color="auto" w:fill="FFFFFF"/>
        <w:spacing w:line="600" w:lineRule="exact"/>
        <w:ind w:firstLine="640" w:firstLineChars="200"/>
        <w:rPr>
          <w:rFonts w:hint="eastAsia" w:ascii="仿宋_GB2312" w:hAnsi="仿宋_GB2312" w:eastAsia="仿宋_GB2312" w:cs="仿宋_GB2312"/>
          <w:kern w:val="0"/>
          <w:sz w:val="32"/>
          <w:szCs w:val="32"/>
        </w:rPr>
      </w:pPr>
      <w:r>
        <w:rPr>
          <w:rFonts w:hint="eastAsia" w:ascii="黑体" w:hAnsi="黑体" w:eastAsia="黑体" w:cs="黑体"/>
          <w:kern w:val="0"/>
          <w:sz w:val="32"/>
          <w:szCs w:val="32"/>
        </w:rPr>
        <w:t>第十四条</w:t>
      </w:r>
      <w:r>
        <w:rPr>
          <w:rFonts w:hint="eastAsia" w:ascii="仿宋_GB2312" w:hAnsi="仿宋_GB2312" w:eastAsia="仿宋_GB2312" w:cs="仿宋_GB2312"/>
          <w:kern w:val="0"/>
          <w:sz w:val="32"/>
          <w:szCs w:val="32"/>
        </w:rPr>
        <w:t xml:space="preserve"> </w:t>
      </w:r>
      <w:r>
        <w:rPr>
          <w:rFonts w:hint="default" w:cs="仿宋_GB2312"/>
          <w:kern w:val="0"/>
          <w:sz w:val="32"/>
          <w:szCs w:val="32"/>
        </w:rPr>
        <w:t xml:space="preserve"> </w:t>
      </w:r>
      <w:r>
        <w:rPr>
          <w:rFonts w:hint="eastAsia" w:ascii="仿宋_GB2312" w:hAnsi="仿宋_GB2312" w:eastAsia="仿宋_GB2312" w:cs="仿宋_GB2312"/>
          <w:kern w:val="0"/>
          <w:sz w:val="32"/>
          <w:szCs w:val="32"/>
        </w:rPr>
        <w:t>公安机关交通管理部门可以根据道路和交通流量的情况，规定限制、禁止电动自行车通行的时段、路段、区域。</w:t>
      </w:r>
    </w:p>
    <w:p>
      <w:pPr>
        <w:shd w:val="clear" w:color="auto" w:fill="FFFFFF"/>
        <w:spacing w:line="600" w:lineRule="exact"/>
        <w:ind w:firstLine="640" w:firstLineChars="200"/>
        <w:rPr>
          <w:rFonts w:hint="eastAsia" w:ascii="仿宋_GB2312" w:hAnsi="仿宋_GB2312" w:eastAsia="仿宋_GB2312" w:cs="仿宋_GB2312"/>
          <w:kern w:val="0"/>
          <w:sz w:val="32"/>
          <w:szCs w:val="32"/>
        </w:rPr>
      </w:pPr>
      <w:r>
        <w:rPr>
          <w:rFonts w:hint="eastAsia" w:ascii="黑体" w:hAnsi="黑体" w:eastAsia="黑体" w:cs="黑体"/>
          <w:kern w:val="0"/>
          <w:sz w:val="32"/>
          <w:szCs w:val="32"/>
        </w:rPr>
        <w:t>第十五条</w:t>
      </w:r>
      <w:r>
        <w:rPr>
          <w:rFonts w:hint="eastAsia" w:ascii="仿宋" w:hAnsi="仿宋" w:eastAsia="仿宋" w:cs="仿宋"/>
          <w:kern w:val="0"/>
          <w:sz w:val="32"/>
          <w:szCs w:val="32"/>
        </w:rPr>
        <w:t xml:space="preserve"> </w:t>
      </w:r>
      <w:r>
        <w:rPr>
          <w:rFonts w:hint="default" w:ascii="仿宋" w:hAnsi="仿宋" w:eastAsia="仿宋" w:cs="仿宋"/>
          <w:kern w:val="0"/>
          <w:sz w:val="32"/>
          <w:szCs w:val="32"/>
        </w:rPr>
        <w:t xml:space="preserve"> </w:t>
      </w:r>
      <w:r>
        <w:rPr>
          <w:rFonts w:hint="eastAsia" w:ascii="仿宋_GB2312" w:hAnsi="仿宋_GB2312" w:eastAsia="仿宋_GB2312" w:cs="仿宋_GB2312"/>
          <w:kern w:val="0"/>
          <w:sz w:val="32"/>
          <w:szCs w:val="32"/>
        </w:rPr>
        <w:t>五城区人民政府及其相关部门应当按照属地原则，根据道路状况、交通流量、停车需求等情况，施划电动自行车停放及禁停区域。</w:t>
      </w:r>
    </w:p>
    <w:p>
      <w:pPr>
        <w:shd w:val="clear" w:color="auto" w:fill="FFFFFF"/>
        <w:spacing w:line="600" w:lineRule="exact"/>
        <w:ind w:firstLine="640" w:firstLineChars="20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电动自行车应当于指定地点有序停放。</w:t>
      </w:r>
    </w:p>
    <w:p>
      <w:pPr>
        <w:shd w:val="clear" w:color="auto" w:fill="FFFFFF"/>
        <w:spacing w:line="600" w:lineRule="exact"/>
        <w:ind w:firstLine="640" w:firstLineChars="200"/>
        <w:rPr>
          <w:rFonts w:hint="eastAsia" w:ascii="仿宋_GB2312" w:hAnsi="仿宋_GB2312" w:eastAsia="仿宋_GB2312" w:cs="仿宋_GB2312"/>
          <w:kern w:val="0"/>
          <w:sz w:val="32"/>
          <w:szCs w:val="32"/>
        </w:rPr>
      </w:pPr>
      <w:r>
        <w:rPr>
          <w:rFonts w:hint="eastAsia" w:ascii="黑体" w:hAnsi="黑体" w:eastAsia="黑体" w:cs="黑体"/>
          <w:kern w:val="0"/>
          <w:sz w:val="32"/>
          <w:szCs w:val="32"/>
        </w:rPr>
        <w:t>第十六条</w:t>
      </w:r>
      <w:r>
        <w:rPr>
          <w:rFonts w:hint="default" w:cs="仿宋_GB2312"/>
          <w:kern w:val="0"/>
          <w:sz w:val="32"/>
          <w:szCs w:val="32"/>
        </w:rPr>
        <w:t xml:space="preserve">  </w:t>
      </w:r>
      <w:r>
        <w:rPr>
          <w:rFonts w:hint="eastAsia" w:ascii="仿宋_GB2312" w:hAnsi="仿宋_GB2312" w:eastAsia="仿宋_GB2312" w:cs="仿宋_GB2312"/>
          <w:kern w:val="0"/>
          <w:sz w:val="32"/>
          <w:szCs w:val="32"/>
        </w:rPr>
        <w:t>新建、改建、扩建城市道路，应当合理规划，建设机动车道、非机动车道和人行道，实行人非分离，保障行人和电动自行车安全通行。</w:t>
      </w:r>
    </w:p>
    <w:p>
      <w:pPr>
        <w:shd w:val="clear" w:color="auto" w:fill="FFFFFF"/>
        <w:spacing w:line="600" w:lineRule="exact"/>
        <w:ind w:firstLine="640" w:firstLineChars="200"/>
        <w:rPr>
          <w:rFonts w:hint="eastAsia" w:ascii="仿宋_GB2312" w:hAnsi="仿宋_GB2312" w:eastAsia="仿宋_GB2312" w:cs="仿宋_GB2312"/>
          <w:kern w:val="0"/>
          <w:sz w:val="32"/>
          <w:szCs w:val="32"/>
        </w:rPr>
      </w:pPr>
      <w:r>
        <w:rPr>
          <w:rFonts w:hint="eastAsia" w:ascii="黑体" w:hAnsi="黑体" w:eastAsia="黑体" w:cs="黑体"/>
          <w:kern w:val="0"/>
          <w:sz w:val="32"/>
          <w:szCs w:val="32"/>
        </w:rPr>
        <w:t>第十七条</w:t>
      </w:r>
      <w:r>
        <w:rPr>
          <w:rFonts w:hint="eastAsia" w:ascii="仿宋_GB2312" w:hAnsi="仿宋_GB2312" w:eastAsia="仿宋_GB2312" w:cs="仿宋_GB2312"/>
          <w:kern w:val="0"/>
          <w:sz w:val="32"/>
          <w:szCs w:val="32"/>
        </w:rPr>
        <w:t xml:space="preserve"> </w:t>
      </w:r>
      <w:r>
        <w:rPr>
          <w:rFonts w:hint="default" w:cs="仿宋_GB2312"/>
          <w:kern w:val="0"/>
          <w:sz w:val="32"/>
          <w:szCs w:val="32"/>
        </w:rPr>
        <w:t xml:space="preserve"> </w:t>
      </w:r>
      <w:r>
        <w:rPr>
          <w:rFonts w:hint="eastAsia" w:ascii="仿宋_GB2312" w:hAnsi="仿宋_GB2312" w:eastAsia="仿宋_GB2312" w:cs="仿宋_GB2312"/>
          <w:kern w:val="0"/>
          <w:sz w:val="32"/>
          <w:szCs w:val="32"/>
        </w:rPr>
        <w:t>机关、团体、企业、事业等单位以及住宅小区设置的电动自行车停放、充电场所应当符合消防技术标准，集中或者相对集中设置，设置的充电设施应当符合用电安全要求。</w:t>
      </w:r>
    </w:p>
    <w:p>
      <w:pPr>
        <w:shd w:val="clear" w:color="auto" w:fill="FFFFFF"/>
        <w:spacing w:line="600" w:lineRule="exact"/>
        <w:ind w:firstLine="640" w:firstLineChars="20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禁止在公共门厅、疏散通道、安全出口、楼梯间等公共区域停放电动自行车。禁止违反用电安全要求私拉电线和插座给电动自行车充电。</w:t>
      </w:r>
    </w:p>
    <w:p>
      <w:pPr>
        <w:shd w:val="clear" w:color="auto" w:fill="FFFFFF"/>
        <w:spacing w:line="600" w:lineRule="exact"/>
        <w:ind w:firstLine="640" w:firstLineChars="20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乡（镇）人民政府、街道办事处应当组织落实本辖区内电动自行车安全宣传教育、停放充电管理等工作。村（居）民委员会、建设管理单位、物业服务人应当加强</w:t>
      </w:r>
      <w:r>
        <w:rPr>
          <w:rFonts w:hint="eastAsia" w:ascii="仿宋_GB2312" w:hAnsi="仿宋_GB2312" w:eastAsia="仿宋_GB2312" w:cs="仿宋_GB2312"/>
          <w:kern w:val="0"/>
          <w:sz w:val="32"/>
          <w:szCs w:val="32"/>
          <w:lang w:eastAsia="zh-CN"/>
        </w:rPr>
        <w:t>电动自行车停放、</w:t>
      </w:r>
      <w:r>
        <w:rPr>
          <w:rFonts w:hint="eastAsia" w:ascii="仿宋_GB2312" w:hAnsi="仿宋_GB2312" w:eastAsia="仿宋_GB2312" w:cs="仿宋_GB2312"/>
          <w:kern w:val="0"/>
          <w:sz w:val="32"/>
          <w:szCs w:val="32"/>
        </w:rPr>
        <w:t>充电安全的日常巡查，</w:t>
      </w:r>
      <w:r>
        <w:rPr>
          <w:rFonts w:hint="eastAsia" w:ascii="仿宋_GB2312" w:hAnsi="仿宋_GB2312" w:eastAsia="仿宋_GB2312" w:cs="仿宋_GB2312"/>
          <w:kern w:val="0"/>
          <w:sz w:val="32"/>
          <w:szCs w:val="32"/>
          <w:lang w:eastAsia="zh-CN"/>
        </w:rPr>
        <w:t>及时劝阻和</w:t>
      </w:r>
      <w:r>
        <w:rPr>
          <w:rFonts w:hint="eastAsia" w:ascii="仿宋_GB2312" w:hAnsi="仿宋_GB2312" w:eastAsia="仿宋_GB2312" w:cs="仿宋_GB2312"/>
          <w:kern w:val="0"/>
          <w:sz w:val="32"/>
          <w:szCs w:val="32"/>
        </w:rPr>
        <w:t>制止</w:t>
      </w:r>
      <w:r>
        <w:rPr>
          <w:rFonts w:hint="eastAsia" w:ascii="仿宋_GB2312" w:hAnsi="仿宋_GB2312" w:eastAsia="仿宋_GB2312" w:cs="仿宋_GB2312"/>
          <w:kern w:val="0"/>
          <w:sz w:val="32"/>
          <w:szCs w:val="32"/>
          <w:lang w:eastAsia="zh-CN"/>
        </w:rPr>
        <w:t>违法违规行为。</w:t>
      </w:r>
    </w:p>
    <w:p>
      <w:pPr>
        <w:shd w:val="clear" w:color="auto" w:fill="FFFFFF"/>
        <w:spacing w:line="600" w:lineRule="exact"/>
        <w:ind w:firstLine="640" w:firstLineChars="200"/>
        <w:rPr>
          <w:rFonts w:hint="eastAsia" w:ascii="仿宋_GB2312" w:hAnsi="仿宋_GB2312" w:eastAsia="仿宋_GB2312" w:cs="仿宋_GB2312"/>
          <w:kern w:val="0"/>
          <w:sz w:val="32"/>
          <w:szCs w:val="32"/>
        </w:rPr>
      </w:pPr>
      <w:r>
        <w:rPr>
          <w:rFonts w:hint="eastAsia" w:ascii="黑体" w:hAnsi="黑体" w:eastAsia="黑体" w:cs="黑体"/>
          <w:kern w:val="0"/>
          <w:sz w:val="32"/>
          <w:szCs w:val="32"/>
        </w:rPr>
        <w:t>第十八条</w:t>
      </w:r>
      <w:r>
        <w:rPr>
          <w:rFonts w:hint="eastAsia" w:ascii="仿宋_GB2312" w:hAnsi="仿宋_GB2312" w:eastAsia="仿宋_GB2312" w:cs="仿宋_GB2312"/>
          <w:kern w:val="0"/>
          <w:sz w:val="32"/>
          <w:szCs w:val="32"/>
        </w:rPr>
        <w:t xml:space="preserve"> </w:t>
      </w:r>
      <w:r>
        <w:rPr>
          <w:rFonts w:hint="default" w:cs="仿宋_GB2312"/>
          <w:kern w:val="0"/>
          <w:sz w:val="32"/>
          <w:szCs w:val="32"/>
        </w:rPr>
        <w:t xml:space="preserve"> </w:t>
      </w:r>
      <w:r>
        <w:rPr>
          <w:rFonts w:hint="eastAsia" w:ascii="仿宋_GB2312" w:hAnsi="仿宋_GB2312" w:eastAsia="仿宋_GB2312" w:cs="仿宋_GB2312"/>
          <w:kern w:val="0"/>
          <w:sz w:val="32"/>
          <w:szCs w:val="32"/>
        </w:rPr>
        <w:t>电动自行车销售、充电销售、维修网点等存在消防安全隐患、影响公共安全的经营场所不得设置在居民住宅楼、商住综合楼内的商业楼层。</w:t>
      </w:r>
    </w:p>
    <w:p>
      <w:pPr>
        <w:shd w:val="clear" w:color="auto" w:fill="FFFFFF"/>
        <w:spacing w:line="600" w:lineRule="exact"/>
        <w:ind w:firstLine="640" w:firstLineChars="20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建设行政主管部门应当加强对电动自行车经营场所的消防设计审查、消防验收、备案和抽查；应急管理、消防救援等部门应当加强对电动自行车经营场所的消防安全检查。</w:t>
      </w:r>
    </w:p>
    <w:p>
      <w:pPr>
        <w:shd w:val="clear" w:color="auto" w:fill="FFFFFF"/>
        <w:spacing w:line="600" w:lineRule="exact"/>
        <w:ind w:firstLine="640" w:firstLineChars="200"/>
        <w:rPr>
          <w:rFonts w:hint="eastAsia" w:ascii="仿宋_GB2312" w:hAnsi="仿宋_GB2312" w:eastAsia="仿宋_GB2312" w:cs="仿宋_GB2312"/>
          <w:kern w:val="0"/>
          <w:sz w:val="32"/>
          <w:szCs w:val="32"/>
        </w:rPr>
      </w:pPr>
      <w:r>
        <w:rPr>
          <w:rFonts w:hint="eastAsia" w:ascii="黑体" w:hAnsi="黑体" w:eastAsia="黑体" w:cs="黑体"/>
          <w:kern w:val="0"/>
          <w:sz w:val="32"/>
          <w:szCs w:val="32"/>
        </w:rPr>
        <w:t>第十九条</w:t>
      </w:r>
      <w:r>
        <w:rPr>
          <w:rFonts w:hint="eastAsia" w:ascii="仿宋_GB2312" w:hAnsi="仿宋_GB2312" w:eastAsia="仿宋_GB2312" w:cs="仿宋_GB2312"/>
          <w:kern w:val="0"/>
          <w:sz w:val="32"/>
          <w:szCs w:val="32"/>
        </w:rPr>
        <w:t xml:space="preserve"> </w:t>
      </w:r>
      <w:r>
        <w:rPr>
          <w:rFonts w:hint="default" w:cs="仿宋_GB2312"/>
          <w:kern w:val="0"/>
          <w:sz w:val="32"/>
          <w:szCs w:val="32"/>
        </w:rPr>
        <w:t xml:space="preserve"> </w:t>
      </w:r>
      <w:r>
        <w:rPr>
          <w:rFonts w:hint="eastAsia" w:ascii="仿宋_GB2312" w:hAnsi="仿宋_GB2312" w:eastAsia="仿宋_GB2312" w:cs="仿宋_GB2312"/>
          <w:kern w:val="0"/>
          <w:sz w:val="32"/>
          <w:szCs w:val="32"/>
        </w:rPr>
        <w:t>科学设置、合理布局电动自行车经营网点，原则上不在城区二环路以内布局。</w:t>
      </w:r>
    </w:p>
    <w:p>
      <w:pPr>
        <w:shd w:val="clear" w:color="auto" w:fill="FFFFFF"/>
        <w:spacing w:line="600" w:lineRule="exact"/>
        <w:ind w:firstLine="640" w:firstLineChars="200"/>
        <w:rPr>
          <w:rFonts w:hint="eastAsia" w:ascii="仿宋_GB2312" w:hAnsi="仿宋_GB2312" w:eastAsia="仿宋_GB2312" w:cs="仿宋_GB2312"/>
          <w:kern w:val="0"/>
          <w:sz w:val="32"/>
          <w:szCs w:val="32"/>
        </w:rPr>
      </w:pPr>
      <w:r>
        <w:rPr>
          <w:rFonts w:hint="eastAsia" w:ascii="黑体" w:hAnsi="黑体" w:eastAsia="黑体" w:cs="黑体"/>
          <w:kern w:val="0"/>
          <w:sz w:val="32"/>
          <w:szCs w:val="32"/>
        </w:rPr>
        <w:t>第二十条</w:t>
      </w:r>
      <w:r>
        <w:rPr>
          <w:rFonts w:hint="eastAsia" w:ascii="仿宋_GB2312" w:hAnsi="仿宋_GB2312" w:eastAsia="仿宋_GB2312" w:cs="仿宋_GB2312"/>
          <w:kern w:val="0"/>
          <w:sz w:val="32"/>
          <w:szCs w:val="32"/>
        </w:rPr>
        <w:t xml:space="preserve"> </w:t>
      </w:r>
      <w:r>
        <w:rPr>
          <w:rFonts w:hint="default" w:cs="仿宋_GB2312"/>
          <w:kern w:val="0"/>
          <w:sz w:val="32"/>
          <w:szCs w:val="32"/>
        </w:rPr>
        <w:t xml:space="preserve"> </w:t>
      </w:r>
      <w:r>
        <w:rPr>
          <w:rFonts w:hint="eastAsia" w:ascii="仿宋_GB2312" w:hAnsi="仿宋_GB2312" w:eastAsia="仿宋_GB2312" w:cs="仿宋_GB2312"/>
          <w:kern w:val="0"/>
          <w:sz w:val="32"/>
          <w:szCs w:val="32"/>
        </w:rPr>
        <w:t>违反本办法第八条、第十一条规定的，由公安机关交通管理部门责令改正，可以处警告或者五十元罚款。</w:t>
      </w:r>
    </w:p>
    <w:p>
      <w:pPr>
        <w:shd w:val="clear" w:color="auto" w:fill="FFFFFF"/>
        <w:spacing w:line="600" w:lineRule="exact"/>
        <w:ind w:firstLine="640" w:firstLineChars="200"/>
        <w:rPr>
          <w:rFonts w:hint="eastAsia" w:ascii="仿宋_GB2312" w:hAnsi="仿宋_GB2312" w:eastAsia="仿宋_GB2312" w:cs="仿宋_GB2312"/>
          <w:kern w:val="0"/>
          <w:sz w:val="32"/>
          <w:szCs w:val="32"/>
        </w:rPr>
      </w:pPr>
      <w:r>
        <w:rPr>
          <w:rFonts w:hint="eastAsia" w:ascii="黑体" w:hAnsi="黑体" w:eastAsia="黑体" w:cs="黑体"/>
          <w:kern w:val="0"/>
          <w:sz w:val="32"/>
          <w:szCs w:val="32"/>
        </w:rPr>
        <w:t>第二十一条</w:t>
      </w:r>
      <w:r>
        <w:rPr>
          <w:rFonts w:hint="eastAsia" w:ascii="仿宋_GB2312" w:hAnsi="仿宋_GB2312" w:eastAsia="仿宋_GB2312" w:cs="仿宋_GB2312"/>
          <w:kern w:val="0"/>
          <w:sz w:val="32"/>
          <w:szCs w:val="32"/>
        </w:rPr>
        <w:t xml:space="preserve"> </w:t>
      </w:r>
      <w:r>
        <w:rPr>
          <w:rFonts w:hint="default" w:cs="仿宋_GB2312"/>
          <w:kern w:val="0"/>
          <w:sz w:val="32"/>
          <w:szCs w:val="32"/>
        </w:rPr>
        <w:t xml:space="preserve"> </w:t>
      </w:r>
      <w:r>
        <w:rPr>
          <w:rFonts w:hint="eastAsia" w:ascii="仿宋_GB2312" w:hAnsi="仿宋_GB2312" w:eastAsia="仿宋_GB2312" w:cs="仿宋_GB2312"/>
          <w:kern w:val="0"/>
          <w:sz w:val="32"/>
          <w:szCs w:val="32"/>
        </w:rPr>
        <w:t>违反本办法第十条规定，销售未经强制性产品认证的电动自行车的，由市场监督主管部门依据《中华人民共和国产品质量法》有关规定予以处罚。</w:t>
      </w:r>
    </w:p>
    <w:p>
      <w:pPr>
        <w:shd w:val="clear" w:color="auto" w:fill="FFFFFF"/>
        <w:spacing w:line="600" w:lineRule="exact"/>
        <w:ind w:firstLine="640" w:firstLineChars="20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经营性拼装、加装、改装电动自行车的，由市场监督主管部门按每辆车处以五千元罚款。</w:t>
      </w:r>
    </w:p>
    <w:p>
      <w:pPr>
        <w:shd w:val="clear" w:color="auto" w:fill="FFFFFF"/>
        <w:spacing w:line="600" w:lineRule="exact"/>
        <w:ind w:firstLine="640" w:firstLineChars="200"/>
        <w:rPr>
          <w:rFonts w:hint="eastAsia" w:ascii="仿宋_GB2312" w:hAnsi="仿宋_GB2312" w:eastAsia="仿宋_GB2312" w:cs="仿宋_GB2312"/>
          <w:kern w:val="0"/>
          <w:sz w:val="32"/>
          <w:szCs w:val="32"/>
        </w:rPr>
      </w:pPr>
      <w:r>
        <w:rPr>
          <w:rFonts w:hint="eastAsia" w:ascii="黑体" w:hAnsi="黑体" w:eastAsia="黑体" w:cs="黑体"/>
          <w:kern w:val="0"/>
          <w:sz w:val="32"/>
          <w:szCs w:val="32"/>
        </w:rPr>
        <w:t>第二十二条</w:t>
      </w:r>
      <w:r>
        <w:rPr>
          <w:rFonts w:hint="eastAsia" w:ascii="仿宋_GB2312" w:hAnsi="仿宋_GB2312" w:eastAsia="仿宋_GB2312" w:cs="仿宋_GB2312"/>
          <w:kern w:val="0"/>
          <w:sz w:val="32"/>
          <w:szCs w:val="32"/>
        </w:rPr>
        <w:t xml:space="preserve"> </w:t>
      </w:r>
      <w:r>
        <w:rPr>
          <w:rFonts w:hint="default" w:cs="仿宋_GB2312"/>
          <w:kern w:val="0"/>
          <w:sz w:val="32"/>
          <w:szCs w:val="32"/>
        </w:rPr>
        <w:t xml:space="preserve"> </w:t>
      </w:r>
      <w:r>
        <w:rPr>
          <w:rFonts w:hint="eastAsia" w:ascii="仿宋_GB2312" w:hAnsi="仿宋_GB2312" w:eastAsia="仿宋_GB2312" w:cs="仿宋_GB2312"/>
          <w:kern w:val="0"/>
          <w:sz w:val="32"/>
          <w:szCs w:val="32"/>
        </w:rPr>
        <w:t>违反本办法第十五条规定，电动自行车违反规定停放，当事人不在现场或虽在现场但拒绝驶离，妨碍其他车辆、行人通行的，由城市管理执法部门搬离至指定地点停放，并依法处罚。</w:t>
      </w:r>
    </w:p>
    <w:p>
      <w:pPr>
        <w:shd w:val="clear" w:color="auto" w:fill="FFFFFF"/>
        <w:spacing w:line="600" w:lineRule="exact"/>
        <w:ind w:firstLine="640" w:firstLineChars="200"/>
        <w:rPr>
          <w:rFonts w:hint="eastAsia" w:ascii="仿宋_GB2312" w:hAnsi="仿宋_GB2312" w:eastAsia="仿宋_GB2312" w:cs="仿宋_GB2312"/>
          <w:kern w:val="0"/>
          <w:sz w:val="32"/>
          <w:szCs w:val="32"/>
        </w:rPr>
      </w:pPr>
      <w:r>
        <w:rPr>
          <w:rFonts w:hint="eastAsia" w:ascii="黑体" w:hAnsi="黑体" w:eastAsia="黑体" w:cs="黑体"/>
          <w:kern w:val="0"/>
          <w:sz w:val="32"/>
          <w:szCs w:val="32"/>
        </w:rPr>
        <w:t>第二十三条</w:t>
      </w:r>
      <w:r>
        <w:rPr>
          <w:rFonts w:hint="eastAsia" w:ascii="仿宋_GB2312" w:hAnsi="仿宋_GB2312" w:eastAsia="仿宋_GB2312" w:cs="仿宋_GB2312"/>
          <w:kern w:val="0"/>
          <w:sz w:val="32"/>
          <w:szCs w:val="32"/>
        </w:rPr>
        <w:t xml:space="preserve"> </w:t>
      </w:r>
      <w:r>
        <w:rPr>
          <w:rFonts w:hint="default" w:cs="仿宋_GB2312"/>
          <w:kern w:val="0"/>
          <w:sz w:val="32"/>
          <w:szCs w:val="32"/>
        </w:rPr>
        <w:t xml:space="preserve"> </w:t>
      </w:r>
      <w:r>
        <w:rPr>
          <w:rFonts w:hint="eastAsia" w:ascii="仿宋_GB2312" w:hAnsi="仿宋_GB2312" w:eastAsia="仿宋_GB2312" w:cs="仿宋_GB2312"/>
          <w:kern w:val="0"/>
          <w:sz w:val="32"/>
          <w:szCs w:val="32"/>
        </w:rPr>
        <w:t>上道路行驶的电动自行车存在未悬挂或者未按规定悬挂电动自行车号牌，故意遮挡、污损电动自行车号牌，使用伪造、变造或者其他电动自行车号牌，逾期不附加红色标识等情形，驾驶人拒绝接受罚款处罚的，公安机关交通管理部门可以依法扣留车辆。</w:t>
      </w:r>
    </w:p>
    <w:p>
      <w:pPr>
        <w:shd w:val="clear" w:color="auto" w:fill="FFFFFF"/>
        <w:spacing w:line="600" w:lineRule="exact"/>
        <w:ind w:firstLine="640" w:firstLineChars="200"/>
        <w:rPr>
          <w:rFonts w:hint="eastAsia" w:ascii="仿宋_GB2312" w:hAnsi="仿宋_GB2312" w:eastAsia="仿宋_GB2312" w:cs="仿宋_GB2312"/>
          <w:kern w:val="0"/>
          <w:sz w:val="32"/>
          <w:szCs w:val="32"/>
        </w:rPr>
      </w:pPr>
      <w:r>
        <w:rPr>
          <w:rFonts w:hint="eastAsia" w:ascii="黑体" w:hAnsi="黑体" w:eastAsia="黑体" w:cs="黑体"/>
          <w:kern w:val="0"/>
          <w:sz w:val="32"/>
          <w:szCs w:val="32"/>
        </w:rPr>
        <w:t>第二十四条</w:t>
      </w:r>
      <w:r>
        <w:rPr>
          <w:rFonts w:hint="eastAsia" w:ascii="仿宋_GB2312" w:hAnsi="仿宋_GB2312" w:eastAsia="仿宋_GB2312" w:cs="仿宋_GB2312"/>
          <w:kern w:val="0"/>
          <w:sz w:val="32"/>
          <w:szCs w:val="32"/>
        </w:rPr>
        <w:t xml:space="preserve"> </w:t>
      </w:r>
      <w:r>
        <w:rPr>
          <w:rFonts w:hint="default" w:cs="仿宋_GB2312"/>
          <w:kern w:val="0"/>
          <w:sz w:val="32"/>
          <w:szCs w:val="32"/>
        </w:rPr>
        <w:t xml:space="preserve"> </w:t>
      </w:r>
      <w:r>
        <w:rPr>
          <w:rFonts w:hint="eastAsia" w:ascii="仿宋_GB2312" w:hAnsi="仿宋_GB2312" w:eastAsia="仿宋_GB2312" w:cs="仿宋_GB2312"/>
          <w:kern w:val="0"/>
          <w:sz w:val="32"/>
          <w:szCs w:val="32"/>
        </w:rPr>
        <w:t>相关行政管理部门工作人员违反本办法规定，由其所在单位或者上级主管部门责令整改；情节严重的，对直接责任人依法给予行政处分。</w:t>
      </w:r>
    </w:p>
    <w:p>
      <w:pPr>
        <w:shd w:val="clear" w:color="auto" w:fill="FFFFFF"/>
        <w:spacing w:line="600" w:lineRule="exact"/>
        <w:ind w:firstLine="640" w:firstLineChars="200"/>
        <w:rPr>
          <w:rFonts w:hint="eastAsia" w:ascii="仿宋_GB2312" w:hAnsi="仿宋_GB2312" w:eastAsia="仿宋_GB2312" w:cs="仿宋_GB2312"/>
          <w:kern w:val="0"/>
          <w:sz w:val="32"/>
          <w:szCs w:val="32"/>
        </w:rPr>
      </w:pPr>
      <w:r>
        <w:rPr>
          <w:rFonts w:hint="eastAsia" w:ascii="黑体" w:hAnsi="黑体" w:eastAsia="黑体" w:cs="黑体"/>
          <w:kern w:val="0"/>
          <w:sz w:val="32"/>
          <w:szCs w:val="32"/>
        </w:rPr>
        <w:t>第二十五条</w:t>
      </w:r>
      <w:r>
        <w:rPr>
          <w:rFonts w:hint="eastAsia" w:ascii="仿宋_GB2312" w:hAnsi="仿宋_GB2312" w:eastAsia="仿宋_GB2312" w:cs="仿宋_GB2312"/>
          <w:kern w:val="0"/>
          <w:sz w:val="32"/>
          <w:szCs w:val="32"/>
        </w:rPr>
        <w:t xml:space="preserve"> </w:t>
      </w:r>
      <w:r>
        <w:rPr>
          <w:rFonts w:hint="default" w:cs="仿宋_GB2312"/>
          <w:kern w:val="0"/>
          <w:sz w:val="32"/>
          <w:szCs w:val="32"/>
        </w:rPr>
        <w:t xml:space="preserve"> </w:t>
      </w:r>
      <w:r>
        <w:rPr>
          <w:rFonts w:hint="eastAsia" w:ascii="仿宋_GB2312" w:hAnsi="仿宋_GB2312" w:eastAsia="仿宋_GB2312" w:cs="仿宋_GB2312"/>
          <w:kern w:val="0"/>
          <w:sz w:val="32"/>
          <w:szCs w:val="32"/>
        </w:rPr>
        <w:t>违反本办法规定的行为，法律、法规、规章已有法律责任规定的，从其规定。</w:t>
      </w:r>
    </w:p>
    <w:p>
      <w:pPr>
        <w:pStyle w:val="8"/>
        <w:bidi w:val="0"/>
        <w:rPr>
          <w:rFonts w:hint="eastAsia" w:ascii="黑体" w:hAnsi="黑体" w:eastAsia="黑体" w:cs="黑体"/>
          <w:lang w:val="en-US" w:eastAsia="zh-CN"/>
        </w:rPr>
      </w:pPr>
      <w:r>
        <w:rPr>
          <w:rFonts w:hint="eastAsia" w:ascii="黑体" w:hAnsi="黑体" w:eastAsia="黑体" w:cs="黑体"/>
          <w:kern w:val="0"/>
          <w:szCs w:val="32"/>
        </w:rPr>
        <w:t>第二十六条</w:t>
      </w:r>
      <w:r>
        <w:rPr>
          <w:rFonts w:hint="eastAsia" w:ascii="仿宋_GB2312" w:hAnsi="仿宋_GB2312" w:eastAsia="仿宋_GB2312" w:cs="仿宋_GB2312"/>
          <w:kern w:val="0"/>
          <w:szCs w:val="32"/>
        </w:rPr>
        <w:t xml:space="preserve"> </w:t>
      </w:r>
      <w:r>
        <w:rPr>
          <w:rFonts w:hint="default" w:cs="仿宋_GB2312"/>
          <w:kern w:val="0"/>
          <w:szCs w:val="32"/>
        </w:rPr>
        <w:t xml:space="preserve"> </w:t>
      </w:r>
      <w:r>
        <w:rPr>
          <w:rFonts w:hint="eastAsia" w:ascii="仿宋_GB2312" w:hAnsi="仿宋_GB2312" w:eastAsia="仿宋_GB2312" w:cs="仿宋_GB2312"/>
          <w:kern w:val="0"/>
          <w:szCs w:val="32"/>
        </w:rPr>
        <w:t>本办法自2022年9月1日起施行。其他县(市)区可参照本办法结合本地实际制定管理措施。</w:t>
      </w:r>
    </w:p>
    <w:sectPr>
      <w:headerReference r:id="rId3" w:type="default"/>
      <w:footerReference r:id="rId4" w:type="default"/>
      <w:pgSz w:w="11906" w:h="16838"/>
      <w:pgMar w:top="1962" w:right="1474" w:bottom="1848" w:left="1587" w:header="851" w:footer="992" w:gutter="0"/>
      <w:pgNumType w:fmt="numberInDash"/>
      <w:cols w:space="72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auto"/>
    <w:pitch w:val="default"/>
    <w:sig w:usb0="00000000" w:usb1="0000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ind w:left="4788" w:leftChars="2280" w:firstLine="6400" w:firstLineChars="2000"/>
      <w:rPr>
        <w:rFonts w:hint="eastAsia" w:eastAsia="仿宋"/>
        <w:sz w:val="32"/>
        <w:szCs w:val="48"/>
        <w:lang w:val="en-US" w:eastAsia="zh-CN"/>
      </w:rPr>
    </w:pPr>
    <w:r>
      <w:rPr>
        <w:sz w:val="32"/>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4"/>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R89qo3AgAAb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AUfPaqNwIAAG8EAAAOAAAAAAAAAAEAIAAAAB8BAABkcnMvZTJvRG9jLnht&#10;bFBLBQYAAAAABgAGAFkBAADIBQAAAAA=&#10;">
              <v:fill on="f" focussize="0,0"/>
              <v:stroke on="f" weight="0.5pt"/>
              <v:imagedata o:title=""/>
              <o:lock v:ext="edit" aspectratio="f"/>
              <v:textbox inset="0mm,0mm,0mm,0mm" style="mso-fit-shape-to-text:t;">
                <w:txbxContent>
                  <w:p>
                    <w:pPr>
                      <w:pStyle w:val="4"/>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v:textbox>
            </v:shape>
          </w:pict>
        </mc:Fallback>
      </mc:AlternateContent>
    </w:r>
    <w:r>
      <w:rPr>
        <w:rFonts w:hint="eastAsia" w:eastAsia="仿宋"/>
        <w:sz w:val="32"/>
        <w:szCs w:val="48"/>
        <w:lang w:val="en-US" w:eastAsia="zh-CN"/>
      </w:rPr>
      <w:t xml:space="preserve">  </w:t>
    </w:r>
  </w:p>
  <w:p>
    <w:pPr>
      <w:pStyle w:val="5"/>
      <w:wordWrap w:val="0"/>
      <w:ind w:left="4788" w:leftChars="2280" w:firstLine="6400" w:firstLineChars="2000"/>
      <w:jc w:val="right"/>
      <w:rPr>
        <w:rFonts w:hint="eastAsia" w:ascii="宋体" w:hAnsi="宋体" w:eastAsia="宋体" w:cs="宋体"/>
        <w:b/>
        <w:bCs/>
        <w:color w:val="005192"/>
        <w:sz w:val="28"/>
        <w:szCs w:val="44"/>
        <w:lang w:val="en-US" w:eastAsia="zh-CN"/>
      </w:rPr>
    </w:pPr>
    <w:r>
      <w:rPr>
        <w:color w:val="FAFAFA"/>
        <w:sz w:val="32"/>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74295</wp:posOffset>
              </wp:positionV>
              <wp:extent cx="5616575" cy="1905"/>
              <wp:effectExtent l="0" t="10795" r="3175" b="15875"/>
              <wp:wrapNone/>
              <wp:docPr id="5" name="直接连接符 5"/>
              <wp:cNvGraphicFramePr/>
              <a:graphic xmlns:a="http://schemas.openxmlformats.org/drawingml/2006/main">
                <a:graphicData uri="http://schemas.microsoft.com/office/word/2010/wordprocessingShape">
                  <wps:wsp>
                    <wps:cNvCnPr/>
                    <wps:spPr>
                      <a:xfrm>
                        <a:off x="0" y="0"/>
                        <a:ext cx="5616575" cy="1905"/>
                      </a:xfrm>
                      <a:prstGeom prst="line">
                        <a:avLst/>
                      </a:prstGeom>
                      <a:noFill/>
                      <a:ln w="22225" cap="flat" cmpd="sng" algn="ctr">
                        <a:solidFill>
                          <a:srgbClr val="005192"/>
                        </a:solidFill>
                        <a:prstDash val="solid"/>
                        <a:miter lim="800000"/>
                      </a:ln>
                      <a:effectLst/>
                    </wps:spPr>
                    <wps:bodyPr/>
                  </wps:wsp>
                </a:graphicData>
              </a:graphic>
            </wp:anchor>
          </w:drawing>
        </mc:Choice>
        <mc:Fallback>
          <w:pict>
            <v:line id="_x0000_s1026" o:spid="_x0000_s1026" o:spt="20" style="position:absolute;left:0pt;margin-left:0pt;margin-top:5.85pt;height:0.15pt;width:442.25pt;z-index:251660288;mso-width-relative:page;mso-height-relative:page;" filled="f" stroked="t" coordsize="21600,21600" o:gfxdata="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Dz&#10;p6XR1AAAAAYBAAAPAAAAAAAAAAEAIAAAACIAAABkcnMvZG93bnJldi54bWxQSwECFAAUAAAACACH&#10;TuJAB6gkL+8BAADDAwAADgAAAAAAAAABACAAAAAjAQAAZHJzL2Uyb0RvYy54bWxQSwUGAAAAAAYA&#10;BgBZAQAAhAUAAAAA&#10;">
              <v:fill on="f" focussize="0,0"/>
              <v:stroke weight="1.75pt" color="#005192" miterlimit="8" joinstyle="miter"/>
              <v:imagedata o:title=""/>
              <o:lock v:ext="edit" aspectratio="f"/>
            </v:line>
          </w:pict>
        </mc:Fallback>
      </mc:AlternateContent>
    </w:r>
    <w:r>
      <w:rPr>
        <w:rFonts w:hint="eastAsia" w:eastAsia="仿宋"/>
        <w:color w:val="FAFAFA"/>
        <w:sz w:val="32"/>
        <w:szCs w:val="48"/>
        <w:lang w:val="en-US" w:eastAsia="zh-CN"/>
      </w:rPr>
      <w:t>X</w:t>
    </w:r>
    <w:r>
      <w:rPr>
        <w:rFonts w:hint="eastAsia" w:ascii="宋体" w:hAnsi="宋体" w:cs="宋体"/>
        <w:b/>
        <w:bCs/>
        <w:color w:val="005192"/>
        <w:sz w:val="28"/>
        <w:szCs w:val="44"/>
        <w:lang w:val="en-US" w:eastAsia="zh-CN"/>
      </w:rPr>
      <w:t>福州市</w:t>
    </w:r>
    <w:r>
      <w:rPr>
        <w:rFonts w:hint="eastAsia" w:ascii="宋体" w:hAnsi="宋体" w:eastAsia="宋体" w:cs="宋体"/>
        <w:b/>
        <w:bCs/>
        <w:color w:val="005192"/>
        <w:sz w:val="28"/>
        <w:szCs w:val="44"/>
        <w:lang w:val="en-US" w:eastAsia="zh-CN"/>
      </w:rPr>
      <w:t xml:space="preserve">人民政府发布     </w:t>
    </w:r>
  </w:p>
  <w:p>
    <w:pPr>
      <w:pStyle w:val="5"/>
      <w:wordWrap w:val="0"/>
      <w:ind w:left="4788" w:leftChars="2280" w:firstLine="5622" w:firstLineChars="2000"/>
      <w:jc w:val="right"/>
      <w:rPr>
        <w:rFonts w:hint="eastAsia" w:ascii="宋体" w:hAnsi="宋体" w:eastAsia="宋体" w:cs="宋体"/>
        <w:b/>
        <w:bCs/>
        <w:color w:val="005192"/>
        <w:sz w:val="28"/>
        <w:szCs w:val="44"/>
        <w:lang w:val="en-US" w:eastAsia="zh-CN"/>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keepNext w:val="0"/>
      <w:keepLines w:val="0"/>
      <w:pageBreakBefore w:val="0"/>
      <w:widowControl w:val="0"/>
      <w:kinsoku/>
      <w:wordWrap/>
      <w:overflowPunct/>
      <w:topLinePunct w:val="0"/>
      <w:autoSpaceDE/>
      <w:autoSpaceDN/>
      <w:bidi w:val="0"/>
      <w:adjustRightInd/>
      <w:snapToGrid w:val="0"/>
      <w:textAlignment w:val="center"/>
      <w:rPr>
        <w:rFonts w:hint="eastAsia" w:ascii="宋体" w:hAnsi="宋体" w:eastAsia="宋体" w:cs="宋体"/>
        <w:b/>
        <w:bCs/>
        <w:color w:val="005192"/>
        <w:sz w:val="32"/>
      </w:rPr>
    </w:pPr>
    <w:r>
      <w:rPr>
        <w:rFonts w:hint="eastAsia" w:ascii="宋体" w:hAnsi="宋体" w:eastAsia="宋体" w:cs="宋体"/>
        <w:b/>
        <w:bCs/>
        <w:color w:val="005192"/>
        <w:sz w:val="32"/>
      </w:rPr>
      <mc:AlternateContent>
        <mc:Choice Requires="wps">
          <w:drawing>
            <wp:anchor distT="0" distB="0" distL="114300" distR="114300" simplePos="0" relativeHeight="251659264" behindDoc="0" locked="0" layoutInCell="1" allowOverlap="1">
              <wp:simplePos x="0" y="0"/>
              <wp:positionH relativeFrom="column">
                <wp:posOffset>-3810</wp:posOffset>
              </wp:positionH>
              <wp:positionV relativeFrom="paragraph">
                <wp:posOffset>690245</wp:posOffset>
              </wp:positionV>
              <wp:extent cx="5620385" cy="0"/>
              <wp:effectExtent l="0" t="10795" r="18415" b="17780"/>
              <wp:wrapNone/>
              <wp:docPr id="4" name="直接连接符 4"/>
              <wp:cNvGraphicFramePr/>
              <a:graphic xmlns:a="http://schemas.openxmlformats.org/drawingml/2006/main">
                <a:graphicData uri="http://schemas.microsoft.com/office/word/2010/wordprocessingShape">
                  <wps:wsp>
                    <wps:cNvCnPr/>
                    <wps:spPr>
                      <a:xfrm>
                        <a:off x="4133850" y="864870"/>
                        <a:ext cx="5620385" cy="0"/>
                      </a:xfrm>
                      <a:prstGeom prst="line">
                        <a:avLst/>
                      </a:prstGeom>
                      <a:noFill/>
                      <a:ln w="22225" cap="flat" cmpd="sng" algn="ctr">
                        <a:solidFill>
                          <a:srgbClr val="005192"/>
                        </a:solidFill>
                        <a:prstDash val="solid"/>
                        <a:miter lim="800000"/>
                      </a:ln>
                      <a:effectLst/>
                    </wps:spPr>
                    <wps:bodyPr/>
                  </wps:wsp>
                </a:graphicData>
              </a:graphic>
            </wp:anchor>
          </w:drawing>
        </mc:Choice>
        <mc:Fallback>
          <w:pict>
            <v:line id="_x0000_s1026" o:spid="_x0000_s1026" o:spt="20" style="position:absolute;left:0pt;margin-left:-0.3pt;margin-top:54.35pt;height:0pt;width:442.55pt;z-index:251659264;mso-width-relative:page;mso-height-relative:page;" filled="f" stroked="t" coordsize="21600,21600" o:gfxdata="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DUR0DW1QAAAAkBAAAPAAAAAAAAAAEAIAAAACIAAABkcnMvZG93bnJldi54bWxQSwEC&#10;FAAUAAAACACHTuJApSLLs/cBAADLAwAADgAAAAAAAAABACAAAAAkAQAAZHJzL2Uyb0RvYy54bWxQ&#10;SwUGAAAAAAYABgBZAQAAjQUAAAAA&#10;">
              <v:fill on="f" focussize="0,0"/>
              <v:stroke weight="1.75pt" color="#005192" miterlimit="8" joinstyle="miter"/>
              <v:imagedata o:title=""/>
              <o:lock v:ext="edit" aspectratio="f"/>
            </v:line>
          </w:pict>
        </mc:Fallback>
      </mc:AlternateContent>
    </w:r>
  </w:p>
  <w:p>
    <w:pPr>
      <w:pStyle w:val="5"/>
      <w:keepNext w:val="0"/>
      <w:keepLines w:val="0"/>
      <w:pageBreakBefore w:val="0"/>
      <w:widowControl w:val="0"/>
      <w:kinsoku/>
      <w:wordWrap/>
      <w:overflowPunct/>
      <w:topLinePunct w:val="0"/>
      <w:autoSpaceDE/>
      <w:autoSpaceDN/>
      <w:bidi w:val="0"/>
      <w:adjustRightInd/>
      <w:snapToGrid w:val="0"/>
      <w:textAlignment w:val="center"/>
      <w:rPr>
        <w:rFonts w:hint="eastAsia" w:ascii="宋体" w:hAnsi="宋体" w:eastAsia="宋体" w:cs="宋体"/>
        <w:b/>
        <w:bCs/>
        <w:color w:val="005192"/>
        <w:sz w:val="32"/>
        <w:szCs w:val="32"/>
        <w:lang w:val="en-US" w:eastAsia="zh-CN"/>
      </w:rPr>
    </w:pPr>
    <w:r>
      <w:rPr>
        <w:rFonts w:hint="eastAsia" w:ascii="宋体" w:hAnsi="宋体" w:eastAsia="宋体" w:cs="宋体"/>
        <w:b/>
        <w:bCs/>
        <w:color w:val="005192"/>
        <w:sz w:val="32"/>
      </w:rPr>
      <w:drawing>
        <wp:inline distT="0" distB="0" distL="114300" distR="114300">
          <wp:extent cx="308610" cy="308610"/>
          <wp:effectExtent l="0" t="0" r="15240" b="15240"/>
          <wp:docPr id="1" name="图片 6"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6" descr="国徽1024"/>
                  <pic:cNvPicPr>
                    <a:picLocks noChangeAspect="1"/>
                  </pic:cNvPicPr>
                </pic:nvPicPr>
                <pic:blipFill>
                  <a:blip r:embed="rId1"/>
                  <a:stretch>
                    <a:fillRect/>
                  </a:stretch>
                </pic:blipFill>
                <pic:spPr>
                  <a:xfrm>
                    <a:off x="0" y="0"/>
                    <a:ext cx="308610" cy="308610"/>
                  </a:xfrm>
                  <a:prstGeom prst="rect">
                    <a:avLst/>
                  </a:prstGeom>
                  <a:noFill/>
                  <a:ln>
                    <a:noFill/>
                  </a:ln>
                </pic:spPr>
              </pic:pic>
            </a:graphicData>
          </a:graphic>
        </wp:inline>
      </w:drawing>
    </w:r>
    <w:r>
      <w:rPr>
        <w:rFonts w:hint="eastAsia" w:ascii="宋体" w:hAnsi="宋体" w:cs="宋体"/>
        <w:b/>
        <w:bCs/>
        <w:color w:val="005192"/>
        <w:sz w:val="32"/>
        <w:szCs w:val="32"/>
        <w:lang w:val="en-US" w:eastAsia="zh-CN"/>
      </w:rPr>
      <w:t>福州市</w:t>
    </w:r>
    <w:r>
      <w:rPr>
        <w:rFonts w:hint="eastAsia" w:ascii="宋体" w:hAnsi="宋体" w:eastAsia="宋体" w:cs="宋体"/>
        <w:b/>
        <w:bCs/>
        <w:color w:val="005192"/>
        <w:sz w:val="32"/>
        <w:szCs w:val="32"/>
        <w:lang w:val="en-US" w:eastAsia="zh-CN"/>
      </w:rPr>
      <w:t>人民政府规章</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420"/>
  <w:hyphenationZone w:val="36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ViY2JkMjU3NGYzZTEwMzZmMGFkZWViYmNkYWU3NDIifQ=="/>
  </w:docVars>
  <w:rsids>
    <w:rsidRoot w:val="00172A27"/>
    <w:rsid w:val="014063FE"/>
    <w:rsid w:val="019E71BD"/>
    <w:rsid w:val="02337A29"/>
    <w:rsid w:val="03306F61"/>
    <w:rsid w:val="04B679C3"/>
    <w:rsid w:val="06634057"/>
    <w:rsid w:val="080F63D8"/>
    <w:rsid w:val="083F77DA"/>
    <w:rsid w:val="08BB1368"/>
    <w:rsid w:val="09341458"/>
    <w:rsid w:val="0B043FF8"/>
    <w:rsid w:val="0B0912D7"/>
    <w:rsid w:val="0C963376"/>
    <w:rsid w:val="0CC708C4"/>
    <w:rsid w:val="13F114D7"/>
    <w:rsid w:val="152D2DCA"/>
    <w:rsid w:val="16D52E46"/>
    <w:rsid w:val="17607826"/>
    <w:rsid w:val="1DEC284C"/>
    <w:rsid w:val="1E6523AC"/>
    <w:rsid w:val="1FEE4DAE"/>
    <w:rsid w:val="22440422"/>
    <w:rsid w:val="233448D1"/>
    <w:rsid w:val="253B13E6"/>
    <w:rsid w:val="27FE6601"/>
    <w:rsid w:val="2AE65071"/>
    <w:rsid w:val="2B414381"/>
    <w:rsid w:val="2F644EA6"/>
    <w:rsid w:val="31A15F24"/>
    <w:rsid w:val="378B575B"/>
    <w:rsid w:val="382A0C93"/>
    <w:rsid w:val="38726196"/>
    <w:rsid w:val="38D469ED"/>
    <w:rsid w:val="395347B5"/>
    <w:rsid w:val="39A232A0"/>
    <w:rsid w:val="39E745AA"/>
    <w:rsid w:val="3B5A6BBB"/>
    <w:rsid w:val="3C020A4F"/>
    <w:rsid w:val="3DF11A9D"/>
    <w:rsid w:val="3EBA6549"/>
    <w:rsid w:val="3EDA13A6"/>
    <w:rsid w:val="42F058B7"/>
    <w:rsid w:val="436109F6"/>
    <w:rsid w:val="441A38D4"/>
    <w:rsid w:val="484841F1"/>
    <w:rsid w:val="4B4614E8"/>
    <w:rsid w:val="4BC77339"/>
    <w:rsid w:val="4C9236C5"/>
    <w:rsid w:val="4D4A01EE"/>
    <w:rsid w:val="4FDA2B47"/>
    <w:rsid w:val="503F0BFC"/>
    <w:rsid w:val="505C172E"/>
    <w:rsid w:val="528E7037"/>
    <w:rsid w:val="52F46F0B"/>
    <w:rsid w:val="53D8014D"/>
    <w:rsid w:val="55D10666"/>
    <w:rsid w:val="55E064E0"/>
    <w:rsid w:val="572C6D10"/>
    <w:rsid w:val="576C5887"/>
    <w:rsid w:val="57BE5EE0"/>
    <w:rsid w:val="593D72CD"/>
    <w:rsid w:val="5A7A4DE4"/>
    <w:rsid w:val="5DC34279"/>
    <w:rsid w:val="5E7C3B11"/>
    <w:rsid w:val="608816D1"/>
    <w:rsid w:val="60EF4E7F"/>
    <w:rsid w:val="613025C6"/>
    <w:rsid w:val="62263737"/>
    <w:rsid w:val="635717A9"/>
    <w:rsid w:val="64E714F0"/>
    <w:rsid w:val="657B2A4C"/>
    <w:rsid w:val="658148DE"/>
    <w:rsid w:val="665233C1"/>
    <w:rsid w:val="69B14654"/>
    <w:rsid w:val="6AD9688B"/>
    <w:rsid w:val="6C722247"/>
    <w:rsid w:val="6D0E3F22"/>
    <w:rsid w:val="6FEF6FD9"/>
    <w:rsid w:val="706847A6"/>
    <w:rsid w:val="708C0F06"/>
    <w:rsid w:val="74F26362"/>
    <w:rsid w:val="7679487F"/>
    <w:rsid w:val="7B162649"/>
    <w:rsid w:val="7BE57342"/>
    <w:rsid w:val="7C137CFC"/>
    <w:rsid w:val="7C9011D9"/>
    <w:rsid w:val="7D2B3162"/>
    <w:rsid w:val="7DC651C5"/>
    <w:rsid w:val="7DD868F1"/>
    <w:rsid w:val="7FCC2834"/>
    <w:rsid w:val="7FCC5758"/>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7">
    <w:name w:val="Default Paragraph Font"/>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annotation text"/>
    <w:basedOn w:val="1"/>
    <w:qFormat/>
    <w:uiPriority w:val="0"/>
    <w:pPr>
      <w:jc w:val="left"/>
    </w:pPr>
  </w:style>
  <w:style w:type="paragraph" w:styleId="3">
    <w:name w:val="Body Text"/>
    <w:basedOn w:val="1"/>
    <w:qFormat/>
    <w:uiPriority w:val="1"/>
    <w:rPr>
      <w:rFonts w:ascii="宋体" w:hAnsi="宋体" w:eastAsia="宋体" w:cs="宋体"/>
      <w:sz w:val="31"/>
      <w:szCs w:val="31"/>
      <w:lang w:val="zh-CN" w:eastAsia="zh-CN" w:bidi="zh-CN"/>
    </w:r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customStyle="1" w:styleId="8">
    <w:name w:val="规章正文"/>
    <w:basedOn w:val="1"/>
    <w:qFormat/>
    <w:uiPriority w:val="0"/>
    <w:pPr>
      <w:ind w:firstLine="640" w:firstLineChars="200"/>
    </w:pPr>
    <w:rPr>
      <w:rFonts w:hint="eastAsia" w:ascii="仿宋_GB2312" w:hAnsi="仿宋_GB2312" w:eastAsia="仿宋_GB2312" w:cs="仿宋_GB2312"/>
      <w:color w:val="333333"/>
      <w:sz w:val="32"/>
      <w:szCs w:val="32"/>
      <w:shd w:val="clear" w:color="auto" w:fill="FFFFFF"/>
    </w:rPr>
  </w:style>
  <w:style w:type="paragraph" w:customStyle="1" w:styleId="9">
    <w:name w:val="章节"/>
    <w:basedOn w:val="1"/>
    <w:qFormat/>
    <w:uiPriority w:val="0"/>
    <w:pPr>
      <w:jc w:val="center"/>
    </w:pPr>
    <w:rPr>
      <w:rFonts w:hint="eastAsia" w:ascii="黑体" w:hAnsi="黑体" w:eastAsia="黑体" w:cs="黑体"/>
      <w:color w:val="333333"/>
      <w:sz w:val="32"/>
      <w:szCs w:val="32"/>
      <w:shd w:val="clear" w:color="auto" w:fill="FFFFFF"/>
    </w:rPr>
  </w:style>
  <w:style w:type="paragraph" w:customStyle="1" w:styleId="10">
    <w:name w:val="条数"/>
    <w:basedOn w:val="1"/>
    <w:link w:val="11"/>
    <w:qFormat/>
    <w:uiPriority w:val="0"/>
    <w:pPr>
      <w:ind w:firstLine="640" w:firstLineChars="200"/>
      <w:jc w:val="left"/>
    </w:pPr>
    <w:rPr>
      <w:rFonts w:hint="eastAsia" w:ascii="黑体" w:hAnsi="黑体" w:eastAsia="黑体" w:cs="黑体"/>
      <w:color w:val="333333"/>
      <w:sz w:val="32"/>
      <w:szCs w:val="32"/>
      <w:shd w:val="clear" w:color="auto" w:fill="FFFFFF"/>
    </w:rPr>
  </w:style>
  <w:style w:type="character" w:customStyle="1" w:styleId="11">
    <w:name w:val="条数 Char"/>
    <w:link w:val="10"/>
    <w:qFormat/>
    <w:uiPriority w:val="0"/>
    <w:rPr>
      <w:rFonts w:hint="eastAsia" w:ascii="黑体" w:hAnsi="黑体" w:eastAsia="黑体" w:cs="黑体"/>
      <w:color w:val="333333"/>
      <w:sz w:val="32"/>
      <w:szCs w:val="32"/>
      <w:shd w:val="clear" w:color="auto" w:fill="FFFFFF"/>
    </w:rPr>
  </w:style>
  <w:style w:type="paragraph" w:customStyle="1" w:styleId="12">
    <w:name w:val="规章题注"/>
    <w:basedOn w:val="1"/>
    <w:link w:val="13"/>
    <w:qFormat/>
    <w:uiPriority w:val="0"/>
    <w:pPr>
      <w:ind w:firstLine="880" w:firstLineChars="200"/>
      <w:jc w:val="both"/>
    </w:pPr>
    <w:rPr>
      <w:rFonts w:hint="eastAsia" w:ascii="楷体_GB2312" w:hAnsi="楷体_GB2312" w:eastAsia="楷体_GB2312" w:cs="楷体_GB2312"/>
      <w:color w:val="333333"/>
      <w:sz w:val="32"/>
      <w:szCs w:val="32"/>
      <w:shd w:val="clear" w:color="auto" w:fill="FFFFFF"/>
    </w:rPr>
  </w:style>
  <w:style w:type="character" w:customStyle="1" w:styleId="13">
    <w:name w:val="规章题注 Char"/>
    <w:link w:val="12"/>
    <w:qFormat/>
    <w:uiPriority w:val="0"/>
    <w:rPr>
      <w:rFonts w:hint="eastAsia" w:ascii="楷体_GB2312" w:hAnsi="楷体_GB2312" w:eastAsia="楷体_GB2312" w:cs="楷体_GB2312"/>
      <w:color w:val="333333"/>
      <w:sz w:val="32"/>
      <w:szCs w:val="32"/>
      <w:shd w:val="clear" w:color="auto" w:fill="FFFFFF"/>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规章文字下载模板(1).wpt</Template>
  <Pages>5</Pages>
  <Words>1488</Words>
  <Characters>1499</Characters>
  <Lines>1</Lines>
  <Paragraphs>1</Paragraphs>
  <TotalTime>1</TotalTime>
  <ScaleCrop>false</ScaleCrop>
  <LinksUpToDate>false</LinksUpToDate>
  <CharactersWithSpaces>1541</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2021-11-17T08:59:00Z</dcterms:created>
  <dc:creator>1</dc:creator>
  <cp:lastModifiedBy>JEX</cp:lastModifiedBy>
  <dcterms:modified xsi:type="dcterms:W3CDTF">2023-06-06T01:35:37Z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D851BACAA5E4467BAF4CAC718FD352A7_13</vt:lpwstr>
  </property>
</Properties>
</file>