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公路行业管理业务专项2（2023结转）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按实际需求编且不超过3万元/年、辆，本级：大楼水电补充20万、安保15、绿化8万、办公设备购置6万、宣传20万、培训教育8万、文明创建、党建、扫黑除恶、依法治国10万、路政服装20万。下属各单位按机关大楼水电补充10万，办公设备购置、文明创建、党建、工会、培训、安全、扫黑除恶等30万控制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实际需求编且不超过3万元/年、辆，本级：大楼水电补充20万、安保15、绿化8万、办公设备购置6万、宣传20万、培训教育8万、文明创建、党建、扫黑除恶、依法治国10万、路政服装20万。下属各单位按机关大楼水电补充10万，办公设备购置、文明创建、党建、工会、培训、安全、扫黑除恶等30万控制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1)物业成本控制率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81.18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1)采购货物数量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个、件、瓶、台、件、辆、套等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1)12345诉求件办结率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2)购置质量合格率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1)完结时效性(完结及时率)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1)采购资金节约率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12.26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例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1)12345诉求件回复满意度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