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公路行业管理业务专项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包括：管理业务用车购置，本级大楼水电补充、物业、绿化、办公设备购置、宣传、培训教育、文明创建、党建、扫黑除恶、安全综治、依法治国、路政服装等费用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保障单位平稳运转，确保公路养护管理工作有效实施。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99.55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1)物业成本控制率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93.93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1)采购货物数量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个、件、瓶、台、件、辆、套等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1)12345诉求件办结率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2)购置质量合格率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1)完结时效性(完结及时率)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15.88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1)采购资金节约率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1.5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6.66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1)安全事故发生数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例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