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据榕财综[2001]789号，按公路损坏赔（补）偿收入统筹20%后安排，其中30%安排路政补充经费。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据榕财综[2001]789号，按公路损坏赔（补）偿收入统筹20%后安排，其中30%安排路政补充经费，完成路政经费补充支出，保障公路日常养护与管理工作顺利开展。。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1)资金到位率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1)补助县（市）区数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1)发现违规非税收入金额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1)特别重大安全生产事故发生率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