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CD57EB5">
      <w:pPr>
        <w:widowControl w:val="0"/>
        <w:adjustRightInd w:val="0"/>
        <w:snapToGrid w:val="0"/>
        <w:spacing w:line="600" w:lineRule="exact"/>
        <w:jc w:val="left"/>
        <w:textAlignment w:val="center"/>
        <w:rPr>
          <w:rFonts w:hint="eastAsia" w:ascii="方正小标宋简体" w:hAnsi="方正小标宋简体" w:eastAsia="方正小标宋简体" w:cs="方正小标宋简体"/>
          <w:color w:val="auto"/>
          <w:kern w:val="0"/>
          <w:sz w:val="44"/>
          <w:szCs w:val="44"/>
          <w:lang w:val="en-US" w:eastAsia="zh-CN"/>
        </w:rPr>
      </w:pPr>
      <w:r>
        <w:rPr>
          <w:rFonts w:hint="eastAsia" w:ascii="黑体" w:hAnsi="黑体" w:eastAsia="黑体" w:cs="黑体"/>
          <w:b w:val="0"/>
          <w:bCs/>
          <w:color w:val="auto"/>
          <w:sz w:val="32"/>
          <w:szCs w:val="32"/>
          <w:lang w:val="en-US" w:eastAsia="zh-CN"/>
        </w:rPr>
        <w:t>附件2 </w:t>
      </w:r>
    </w:p>
    <w:p w14:paraId="5720FC93">
      <w:pPr>
        <w:widowControl w:val="0"/>
        <w:adjustRightInd w:val="0"/>
        <w:snapToGrid w:val="0"/>
        <w:spacing w:line="600" w:lineRule="exact"/>
        <w:jc w:val="center"/>
        <w:textAlignment w:val="center"/>
        <w:rPr>
          <w:rFonts w:hint="eastAsia" w:ascii="方正小标宋简体" w:hAnsi="方正小标宋简体" w:eastAsia="方正小标宋简体" w:cs="方正小标宋简体"/>
          <w:color w:val="auto"/>
          <w:kern w:val="0"/>
          <w:sz w:val="44"/>
          <w:szCs w:val="44"/>
          <w:lang w:val="en-US" w:eastAsia="zh-CN"/>
        </w:rPr>
      </w:pPr>
      <w:r>
        <w:rPr>
          <w:rFonts w:hint="eastAsia" w:ascii="方正小标宋简体" w:hAnsi="方正小标宋简体" w:eastAsia="方正小标宋简体" w:cs="方正小标宋简体"/>
          <w:color w:val="auto"/>
          <w:kern w:val="0"/>
          <w:sz w:val="44"/>
          <w:szCs w:val="44"/>
          <w:lang w:val="en-US" w:eastAsia="zh-CN"/>
        </w:rPr>
        <w:t>技术要求和商务要求</w:t>
      </w:r>
    </w:p>
    <w:tbl>
      <w:tblPr>
        <w:tblStyle w:val="5"/>
        <w:tblW w:w="863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36"/>
        <w:gridCol w:w="1341"/>
        <w:gridCol w:w="6562"/>
      </w:tblGrid>
      <w:tr w14:paraId="70939A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6" w:type="dxa"/>
            <w:vAlign w:val="center"/>
          </w:tcPr>
          <w:p w14:paraId="7785E3DD">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rPr>
                <w:rFonts w:hint="eastAsia" w:ascii="黑体" w:hAnsi="黑体" w:eastAsia="黑体" w:cs="黑体"/>
                <w:b w:val="0"/>
                <w:bCs/>
                <w:color w:val="auto"/>
                <w:sz w:val="24"/>
                <w:szCs w:val="24"/>
                <w:lang w:val="en-US" w:eastAsia="zh-CN"/>
              </w:rPr>
            </w:pPr>
            <w:r>
              <w:rPr>
                <w:rFonts w:hint="eastAsia" w:ascii="黑体" w:hAnsi="黑体" w:eastAsia="黑体" w:cs="黑体"/>
                <w:b w:val="0"/>
                <w:bCs/>
                <w:color w:val="auto"/>
                <w:sz w:val="24"/>
                <w:szCs w:val="24"/>
                <w:lang w:val="en-US" w:eastAsia="zh-CN"/>
              </w:rPr>
              <w:t>包号</w:t>
            </w:r>
          </w:p>
        </w:tc>
        <w:tc>
          <w:tcPr>
            <w:tcW w:w="1341" w:type="dxa"/>
            <w:vAlign w:val="center"/>
          </w:tcPr>
          <w:p w14:paraId="2B253B2C">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rPr>
                <w:rFonts w:hint="default" w:ascii="黑体" w:hAnsi="黑体" w:eastAsia="黑体" w:cs="黑体"/>
                <w:b w:val="0"/>
                <w:bCs/>
                <w:color w:val="auto"/>
                <w:sz w:val="24"/>
                <w:szCs w:val="24"/>
                <w:lang w:val="en-US" w:eastAsia="zh-CN"/>
              </w:rPr>
            </w:pPr>
            <w:r>
              <w:rPr>
                <w:rFonts w:hint="eastAsia" w:ascii="黑体" w:hAnsi="黑体" w:eastAsia="黑体" w:cs="黑体"/>
                <w:b w:val="0"/>
                <w:bCs/>
                <w:color w:val="auto"/>
                <w:sz w:val="24"/>
                <w:szCs w:val="24"/>
                <w:lang w:val="en-US" w:eastAsia="zh-CN"/>
              </w:rPr>
              <w:t>技术商务要求</w:t>
            </w:r>
          </w:p>
        </w:tc>
        <w:tc>
          <w:tcPr>
            <w:tcW w:w="6562" w:type="dxa"/>
            <w:vAlign w:val="center"/>
          </w:tcPr>
          <w:p w14:paraId="5210FA2E">
            <w:pPr>
              <w:keepNext w:val="0"/>
              <w:keepLines w:val="0"/>
              <w:pageBreakBefore w:val="0"/>
              <w:widowControl w:val="0"/>
              <w:kinsoku/>
              <w:wordWrap/>
              <w:overflowPunct/>
              <w:topLinePunct w:val="0"/>
              <w:autoSpaceDE/>
              <w:autoSpaceDN/>
              <w:bidi w:val="0"/>
              <w:adjustRightInd/>
              <w:spacing w:line="460" w:lineRule="exact"/>
              <w:jc w:val="center"/>
              <w:textAlignment w:val="auto"/>
              <w:rPr>
                <w:rFonts w:hint="default" w:eastAsia="宋体"/>
                <w:vertAlign w:val="baseline"/>
                <w:lang w:val="en-US" w:eastAsia="zh-CN"/>
              </w:rPr>
            </w:pPr>
            <w:r>
              <w:rPr>
                <w:rFonts w:hint="eastAsia" w:ascii="黑体" w:hAnsi="黑体" w:eastAsia="黑体" w:cs="黑体"/>
                <w:b w:val="0"/>
                <w:bCs/>
                <w:color w:val="auto"/>
                <w:sz w:val="24"/>
                <w:szCs w:val="24"/>
                <w:lang w:val="en-US" w:eastAsia="zh-CN"/>
              </w:rPr>
              <w:t>具体内容</w:t>
            </w:r>
          </w:p>
        </w:tc>
      </w:tr>
      <w:tr w14:paraId="517B10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6" w:type="dxa"/>
            <w:vMerge w:val="restart"/>
            <w:vAlign w:val="center"/>
          </w:tcPr>
          <w:p w14:paraId="4E8068A1">
            <w:pPr>
              <w:keepNext w:val="0"/>
              <w:keepLines w:val="0"/>
              <w:pageBreakBefore w:val="0"/>
              <w:widowControl w:val="0"/>
              <w:kinsoku/>
              <w:wordWrap/>
              <w:overflowPunct/>
              <w:topLinePunct w:val="0"/>
              <w:autoSpaceDE/>
              <w:autoSpaceDN/>
              <w:bidi w:val="0"/>
              <w:adjustRightInd/>
              <w:spacing w:line="460" w:lineRule="exact"/>
              <w:jc w:val="left"/>
              <w:textAlignment w:val="auto"/>
              <w:rPr>
                <w:rFonts w:hint="default"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包1</w:t>
            </w:r>
          </w:p>
        </w:tc>
        <w:tc>
          <w:tcPr>
            <w:tcW w:w="1341" w:type="dxa"/>
            <w:vAlign w:val="center"/>
          </w:tcPr>
          <w:p w14:paraId="2C5D279C">
            <w:pPr>
              <w:keepNext w:val="0"/>
              <w:keepLines w:val="0"/>
              <w:pageBreakBefore w:val="0"/>
              <w:widowControl w:val="0"/>
              <w:kinsoku/>
              <w:wordWrap/>
              <w:overflowPunct/>
              <w:topLinePunct w:val="0"/>
              <w:autoSpaceDE/>
              <w:autoSpaceDN/>
              <w:bidi w:val="0"/>
              <w:adjustRightInd/>
              <w:spacing w:line="460" w:lineRule="exact"/>
              <w:jc w:val="left"/>
              <w:textAlignment w:val="auto"/>
              <w:rPr>
                <w:rFonts w:hint="default"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技术要求</w:t>
            </w:r>
          </w:p>
        </w:tc>
        <w:tc>
          <w:tcPr>
            <w:tcW w:w="6562" w:type="dxa"/>
          </w:tcPr>
          <w:p w14:paraId="01B7BABE">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460" w:lineRule="exact"/>
              <w:jc w:val="left"/>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一、地震救援集训场地搭设</w:t>
            </w:r>
          </w:p>
          <w:p w14:paraId="3FBB6F3F">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460" w:lineRule="exact"/>
              <w:jc w:val="left"/>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1、破拆预置板20块：规格</w:t>
            </w:r>
            <w:r>
              <w:rPr>
                <w:rFonts w:hint="default" w:ascii="仿宋_GB2312" w:hAnsi="仿宋_GB2312" w:eastAsia="仿宋_GB2312" w:cs="仿宋_GB2312"/>
                <w:color w:val="auto"/>
                <w:sz w:val="24"/>
                <w:szCs w:val="24"/>
                <w:lang w:val="en-US" w:eastAsia="zh-CN"/>
              </w:rPr>
              <w:t>1250</w:t>
            </w:r>
            <w:r>
              <w:rPr>
                <w:rFonts w:hint="eastAsia" w:ascii="仿宋_GB2312" w:hAnsi="仿宋_GB2312" w:eastAsia="仿宋_GB2312" w:cs="仿宋_GB2312"/>
                <w:color w:val="auto"/>
                <w:sz w:val="24"/>
                <w:szCs w:val="24"/>
                <w:lang w:val="en-US" w:eastAsia="zh-CN"/>
              </w:rPr>
              <w:t>毫米</w:t>
            </w:r>
            <w:r>
              <w:rPr>
                <w:rFonts w:hint="default" w:ascii="仿宋_GB2312" w:hAnsi="仿宋_GB2312" w:eastAsia="仿宋_GB2312" w:cs="仿宋_GB2312"/>
                <w:color w:val="auto"/>
                <w:sz w:val="24"/>
                <w:szCs w:val="24"/>
                <w:lang w:val="en-US" w:eastAsia="zh-CN"/>
              </w:rPr>
              <w:t>×1250</w:t>
            </w:r>
            <w:r>
              <w:rPr>
                <w:rFonts w:hint="eastAsia" w:ascii="仿宋_GB2312" w:hAnsi="仿宋_GB2312" w:eastAsia="仿宋_GB2312" w:cs="仿宋_GB2312"/>
                <w:color w:val="auto"/>
                <w:sz w:val="24"/>
                <w:szCs w:val="24"/>
                <w:lang w:val="en-US" w:eastAsia="zh-CN"/>
              </w:rPr>
              <w:t>毫米</w:t>
            </w:r>
            <w:r>
              <w:rPr>
                <w:rFonts w:hint="default" w:ascii="仿宋_GB2312" w:hAnsi="仿宋_GB2312" w:eastAsia="仿宋_GB2312" w:cs="仿宋_GB2312"/>
                <w:color w:val="auto"/>
                <w:sz w:val="24"/>
                <w:szCs w:val="24"/>
                <w:lang w:val="en-US" w:eastAsia="zh-CN"/>
              </w:rPr>
              <w:t>×130</w:t>
            </w:r>
            <w:r>
              <w:rPr>
                <w:rFonts w:hint="eastAsia" w:ascii="仿宋_GB2312" w:hAnsi="仿宋_GB2312" w:eastAsia="仿宋_GB2312" w:cs="仿宋_GB2312"/>
                <w:color w:val="auto"/>
                <w:sz w:val="24"/>
                <w:szCs w:val="24"/>
                <w:lang w:val="en-US" w:eastAsia="zh-CN"/>
              </w:rPr>
              <w:t>毫米，水泥标号</w:t>
            </w:r>
            <w:r>
              <w:rPr>
                <w:rFonts w:hint="default" w:ascii="仿宋_GB2312" w:hAnsi="仿宋_GB2312" w:eastAsia="仿宋_GB2312" w:cs="仿宋_GB2312"/>
                <w:color w:val="auto"/>
                <w:sz w:val="24"/>
                <w:szCs w:val="24"/>
                <w:lang w:val="en-US" w:eastAsia="zh-CN"/>
              </w:rPr>
              <w:t>C30</w:t>
            </w:r>
            <w:r>
              <w:rPr>
                <w:rFonts w:hint="eastAsia" w:ascii="仿宋_GB2312" w:hAnsi="仿宋_GB2312" w:eastAsia="仿宋_GB2312" w:cs="仿宋_GB2312"/>
                <w:color w:val="auto"/>
                <w:sz w:val="24"/>
                <w:szCs w:val="24"/>
                <w:lang w:val="en-US" w:eastAsia="zh-CN"/>
              </w:rPr>
              <w:t>，配筋螺纹钢直径</w:t>
            </w:r>
            <w:r>
              <w:rPr>
                <w:rFonts w:hint="default" w:ascii="仿宋_GB2312" w:hAnsi="仿宋_GB2312" w:eastAsia="仿宋_GB2312" w:cs="仿宋_GB2312"/>
                <w:color w:val="auto"/>
                <w:sz w:val="24"/>
                <w:szCs w:val="24"/>
                <w:lang w:val="en-US" w:eastAsia="zh-CN"/>
              </w:rPr>
              <w:t>12</w:t>
            </w:r>
            <w:r>
              <w:rPr>
                <w:rFonts w:hint="eastAsia" w:ascii="仿宋_GB2312" w:hAnsi="仿宋_GB2312" w:eastAsia="仿宋_GB2312" w:cs="仿宋_GB2312"/>
                <w:color w:val="auto"/>
                <w:sz w:val="24"/>
                <w:szCs w:val="24"/>
                <w:lang w:val="en-US" w:eastAsia="zh-CN"/>
              </w:rPr>
              <w:t>毫米、钢筋间距</w:t>
            </w:r>
            <w:r>
              <w:rPr>
                <w:rFonts w:hint="default" w:ascii="仿宋_GB2312" w:hAnsi="仿宋_GB2312" w:eastAsia="仿宋_GB2312" w:cs="仿宋_GB2312"/>
                <w:color w:val="auto"/>
                <w:sz w:val="24"/>
                <w:szCs w:val="24"/>
                <w:lang w:val="en-US" w:eastAsia="zh-CN"/>
              </w:rPr>
              <w:t>150</w:t>
            </w:r>
            <w:r>
              <w:rPr>
                <w:rFonts w:hint="eastAsia" w:ascii="仿宋_GB2312" w:hAnsi="仿宋_GB2312" w:eastAsia="仿宋_GB2312" w:cs="仿宋_GB2312"/>
                <w:color w:val="auto"/>
                <w:sz w:val="24"/>
                <w:szCs w:val="24"/>
                <w:lang w:val="en-US" w:eastAsia="zh-CN"/>
              </w:rPr>
              <w:t>毫米、设置为双层。</w:t>
            </w:r>
          </w:p>
          <w:p w14:paraId="78003DB2">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460" w:lineRule="exact"/>
              <w:jc w:val="left"/>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2、顶撑预置板A  1块：规格3200mm×1200mm×200mm,水泥标号C30,配筋螺纹钢直径不小于12mm、钢筋间距不小于130mm、设置为双层。</w:t>
            </w:r>
          </w:p>
          <w:p w14:paraId="797BD21A">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460" w:lineRule="exact"/>
              <w:jc w:val="left"/>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3、顶撑预制板B  2块：规格3200mm×1200mm×300mm,水泥标号C30,配筋螺纹钢直径不小于12mm、钢筋间距不小于130mm、设置为双层。</w:t>
            </w:r>
          </w:p>
          <w:p w14:paraId="65B17B15">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460" w:lineRule="exact"/>
              <w:jc w:val="left"/>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4、水泥涵管 1根：内径1m、长度2m的水泥涵管。</w:t>
            </w:r>
          </w:p>
          <w:p w14:paraId="57081145">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460" w:lineRule="exact"/>
              <w:jc w:val="left"/>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5、水泥涵管支撑钢架1套：确保水泥涵管稳定，高≥0.3m。</w:t>
            </w:r>
          </w:p>
          <w:p w14:paraId="718EC14C">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460" w:lineRule="exact"/>
              <w:jc w:val="left"/>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二、水域救援集训场地搭设</w:t>
            </w:r>
          </w:p>
          <w:p w14:paraId="7773DB03">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460" w:lineRule="exact"/>
              <w:jc w:val="left"/>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提供活水训练码头、水域、3.8米橡皮艇一艘、4.2米橡皮艇一艘及雅马哈船外机（与竞赛机型保持一致）供训练，在训练水域设置</w:t>
            </w:r>
            <w:r>
              <w:rPr>
                <w:rFonts w:hint="default" w:ascii="仿宋_GB2312" w:hAnsi="仿宋_GB2312" w:eastAsia="仿宋_GB2312" w:cs="仿宋_GB2312"/>
                <w:color w:val="auto"/>
                <w:sz w:val="24"/>
                <w:szCs w:val="24"/>
                <w:lang w:val="en-US" w:eastAsia="zh-CN"/>
              </w:rPr>
              <w:t>10</w:t>
            </w:r>
            <w:r>
              <w:rPr>
                <w:rFonts w:hint="eastAsia" w:ascii="仿宋_GB2312" w:hAnsi="仿宋_GB2312" w:eastAsia="仿宋_GB2312" w:cs="仿宋_GB2312"/>
                <w:color w:val="auto"/>
                <w:sz w:val="24"/>
                <w:szCs w:val="24"/>
                <w:lang w:val="en-US" w:eastAsia="zh-CN"/>
              </w:rPr>
              <w:t>米间距水上障碍物五个，距离第五个障碍物</w:t>
            </w:r>
            <w:r>
              <w:rPr>
                <w:rFonts w:hint="default" w:ascii="仿宋_GB2312" w:hAnsi="仿宋_GB2312" w:eastAsia="仿宋_GB2312" w:cs="仿宋_GB2312"/>
                <w:color w:val="auto"/>
                <w:sz w:val="24"/>
                <w:szCs w:val="24"/>
                <w:lang w:val="en-US" w:eastAsia="zh-CN"/>
              </w:rPr>
              <w:t>30</w:t>
            </w:r>
            <w:r>
              <w:rPr>
                <w:rFonts w:hint="eastAsia" w:ascii="仿宋_GB2312" w:hAnsi="仿宋_GB2312" w:eastAsia="仿宋_GB2312" w:cs="仿宋_GB2312"/>
                <w:color w:val="auto"/>
                <w:sz w:val="24"/>
                <w:szCs w:val="24"/>
                <w:lang w:val="en-US" w:eastAsia="zh-CN"/>
              </w:rPr>
              <w:t>米处设置</w:t>
            </w:r>
            <w:r>
              <w:rPr>
                <w:rFonts w:hint="default" w:ascii="仿宋_GB2312" w:hAnsi="仿宋_GB2312" w:eastAsia="仿宋_GB2312" w:cs="仿宋_GB2312"/>
                <w:color w:val="auto"/>
                <w:sz w:val="24"/>
                <w:szCs w:val="24"/>
                <w:lang w:val="en-US" w:eastAsia="zh-CN"/>
              </w:rPr>
              <w:t>4</w:t>
            </w:r>
            <w:r>
              <w:rPr>
                <w:rFonts w:hint="eastAsia" w:ascii="仿宋_GB2312" w:hAnsi="仿宋_GB2312" w:eastAsia="仿宋_GB2312" w:cs="仿宋_GB2312"/>
                <w:color w:val="auto"/>
                <w:sz w:val="24"/>
                <w:szCs w:val="24"/>
                <w:lang w:val="en-US" w:eastAsia="zh-CN"/>
              </w:rPr>
              <w:t>米</w:t>
            </w:r>
            <w:r>
              <w:rPr>
                <w:rFonts w:hint="default" w:ascii="仿宋_GB2312" w:hAnsi="仿宋_GB2312" w:eastAsia="仿宋_GB2312" w:cs="仿宋_GB2312"/>
                <w:color w:val="auto"/>
                <w:sz w:val="24"/>
                <w:szCs w:val="24"/>
                <w:lang w:val="en-US" w:eastAsia="zh-CN"/>
              </w:rPr>
              <w:t>×3</w:t>
            </w:r>
            <w:r>
              <w:rPr>
                <w:rFonts w:hint="eastAsia" w:ascii="仿宋_GB2312" w:hAnsi="仿宋_GB2312" w:eastAsia="仿宋_GB2312" w:cs="仿宋_GB2312"/>
                <w:color w:val="auto"/>
                <w:sz w:val="24"/>
                <w:szCs w:val="24"/>
                <w:lang w:val="en-US" w:eastAsia="zh-CN"/>
              </w:rPr>
              <w:t>米水上平台一个，并在10月31前提供维护服务。</w:t>
            </w:r>
          </w:p>
          <w:p w14:paraId="3F94B269">
            <w:pPr>
              <w:keepNext w:val="0"/>
              <w:keepLines w:val="0"/>
              <w:pageBreakBefore w:val="0"/>
              <w:widowControl w:val="0"/>
              <w:numPr>
                <w:ilvl w:val="0"/>
                <w:numId w:val="1"/>
              </w:numPr>
              <w:kinsoku/>
              <w:wordWrap/>
              <w:overflowPunct/>
              <w:topLinePunct w:val="0"/>
              <w:autoSpaceDE/>
              <w:autoSpaceDN/>
              <w:bidi w:val="0"/>
              <w:adjustRightInd/>
              <w:snapToGrid/>
              <w:spacing w:beforeAutospacing="0" w:afterAutospacing="0" w:line="460" w:lineRule="exact"/>
              <w:jc w:val="left"/>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耗材及装备维护保养保障</w:t>
            </w:r>
          </w:p>
          <w:p w14:paraId="7EA08871">
            <w:pPr>
              <w:keepNext w:val="0"/>
              <w:keepLines w:val="0"/>
              <w:pageBreakBefore w:val="0"/>
              <w:widowControl w:val="0"/>
              <w:numPr>
                <w:ilvl w:val="0"/>
                <w:numId w:val="2"/>
              </w:numPr>
              <w:kinsoku/>
              <w:wordWrap/>
              <w:overflowPunct/>
              <w:topLinePunct w:val="0"/>
              <w:autoSpaceDE/>
              <w:autoSpaceDN/>
              <w:bidi w:val="0"/>
              <w:adjustRightInd/>
              <w:snapToGrid/>
              <w:spacing w:beforeAutospacing="0" w:afterAutospacing="0" w:line="460" w:lineRule="exact"/>
              <w:jc w:val="left"/>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地震救援训练：6人破拆救援组9天集训耗材保障，每天训练7.5小时。</w:t>
            </w:r>
          </w:p>
          <w:p w14:paraId="3465C751">
            <w:pPr>
              <w:keepNext w:val="0"/>
              <w:keepLines w:val="0"/>
              <w:pageBreakBefore w:val="0"/>
              <w:widowControl w:val="0"/>
              <w:numPr>
                <w:ilvl w:val="0"/>
                <w:numId w:val="2"/>
              </w:numPr>
              <w:kinsoku/>
              <w:wordWrap/>
              <w:overflowPunct/>
              <w:topLinePunct w:val="0"/>
              <w:autoSpaceDE/>
              <w:autoSpaceDN/>
              <w:bidi w:val="0"/>
              <w:adjustRightInd/>
              <w:snapToGrid/>
              <w:spacing w:beforeAutospacing="0" w:afterAutospacing="0" w:line="460" w:lineRule="exact"/>
              <w:jc w:val="left"/>
              <w:textAlignment w:val="auto"/>
              <w:rPr>
                <w:rFonts w:hint="default"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水域救援训练：6人水域救援组9天集训耗材保障，每天训练7.5小时。</w:t>
            </w:r>
          </w:p>
          <w:p w14:paraId="26AAA617">
            <w:pPr>
              <w:keepNext w:val="0"/>
              <w:keepLines w:val="0"/>
              <w:pageBreakBefore w:val="0"/>
              <w:widowControl w:val="0"/>
              <w:numPr>
                <w:ilvl w:val="0"/>
                <w:numId w:val="2"/>
              </w:numPr>
              <w:kinsoku/>
              <w:wordWrap/>
              <w:overflowPunct/>
              <w:topLinePunct w:val="0"/>
              <w:autoSpaceDE/>
              <w:autoSpaceDN/>
              <w:bidi w:val="0"/>
              <w:adjustRightInd/>
              <w:snapToGrid/>
              <w:spacing w:beforeAutospacing="0" w:afterAutospacing="0" w:line="460" w:lineRule="exact"/>
              <w:jc w:val="left"/>
              <w:textAlignment w:val="auto"/>
              <w:rPr>
                <w:rFonts w:hint="default"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技能竞赛参赛：10人5天赛期耗材保障。</w:t>
            </w:r>
          </w:p>
          <w:p w14:paraId="30158416">
            <w:pPr>
              <w:keepNext w:val="0"/>
              <w:keepLines w:val="0"/>
              <w:pageBreakBefore w:val="0"/>
              <w:widowControl w:val="0"/>
              <w:numPr>
                <w:ilvl w:val="0"/>
                <w:numId w:val="2"/>
              </w:numPr>
              <w:kinsoku/>
              <w:wordWrap/>
              <w:overflowPunct/>
              <w:topLinePunct w:val="0"/>
              <w:autoSpaceDE/>
              <w:autoSpaceDN/>
              <w:bidi w:val="0"/>
              <w:adjustRightInd/>
              <w:snapToGrid/>
              <w:spacing w:beforeAutospacing="0" w:afterAutospacing="0" w:line="460" w:lineRule="exact"/>
              <w:jc w:val="left"/>
              <w:textAlignment w:val="auto"/>
              <w:rPr>
                <w:rFonts w:hint="default"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保障方应派有相关资质的专员对接，及时满足耗材需求，做好装备维护保养，训练开始前保证耗材到位。</w:t>
            </w:r>
          </w:p>
        </w:tc>
      </w:tr>
      <w:tr w14:paraId="224858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6" w:type="dxa"/>
            <w:vMerge w:val="continue"/>
            <w:vAlign w:val="center"/>
          </w:tcPr>
          <w:p w14:paraId="19BF6015">
            <w:pPr>
              <w:keepNext w:val="0"/>
              <w:keepLines w:val="0"/>
              <w:pageBreakBefore w:val="0"/>
              <w:widowControl w:val="0"/>
              <w:kinsoku/>
              <w:wordWrap/>
              <w:overflowPunct/>
              <w:topLinePunct w:val="0"/>
              <w:autoSpaceDE/>
              <w:autoSpaceDN/>
              <w:bidi w:val="0"/>
              <w:adjustRightInd/>
              <w:spacing w:line="460" w:lineRule="exact"/>
              <w:jc w:val="left"/>
              <w:textAlignment w:val="auto"/>
              <w:rPr>
                <w:rFonts w:hint="eastAsia" w:ascii="仿宋_GB2312" w:hAnsi="仿宋_GB2312" w:eastAsia="仿宋_GB2312" w:cs="仿宋_GB2312"/>
                <w:color w:val="auto"/>
                <w:sz w:val="24"/>
                <w:szCs w:val="24"/>
              </w:rPr>
            </w:pPr>
          </w:p>
        </w:tc>
        <w:tc>
          <w:tcPr>
            <w:tcW w:w="1341" w:type="dxa"/>
            <w:vAlign w:val="center"/>
          </w:tcPr>
          <w:p w14:paraId="6639B6F2">
            <w:pPr>
              <w:keepNext w:val="0"/>
              <w:keepLines w:val="0"/>
              <w:pageBreakBefore w:val="0"/>
              <w:widowControl w:val="0"/>
              <w:kinsoku/>
              <w:wordWrap/>
              <w:overflowPunct/>
              <w:topLinePunct w:val="0"/>
              <w:autoSpaceDE/>
              <w:autoSpaceDN/>
              <w:bidi w:val="0"/>
              <w:adjustRightInd/>
              <w:spacing w:line="460" w:lineRule="exact"/>
              <w:jc w:val="left"/>
              <w:textAlignment w:val="auto"/>
              <w:rPr>
                <w:rFonts w:hint="default"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商务要求</w:t>
            </w:r>
          </w:p>
        </w:tc>
        <w:tc>
          <w:tcPr>
            <w:tcW w:w="6562" w:type="dxa"/>
          </w:tcPr>
          <w:p w14:paraId="6D43B3D5">
            <w:pPr>
              <w:keepNext w:val="0"/>
              <w:keepLines w:val="0"/>
              <w:pageBreakBefore w:val="0"/>
              <w:widowControl w:val="0"/>
              <w:kinsoku/>
              <w:wordWrap/>
              <w:overflowPunct/>
              <w:topLinePunct w:val="0"/>
              <w:autoSpaceDE/>
              <w:autoSpaceDN/>
              <w:bidi w:val="0"/>
              <w:adjustRightInd/>
              <w:spacing w:line="460" w:lineRule="exact"/>
              <w:jc w:val="left"/>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1.服务期限：自合同签订之日起至2024年10月31日。</w:t>
            </w:r>
            <w:bookmarkStart w:id="0" w:name="_GoBack"/>
            <w:bookmarkEnd w:id="0"/>
          </w:p>
          <w:p w14:paraId="44E321D2">
            <w:pPr>
              <w:keepNext w:val="0"/>
              <w:keepLines w:val="0"/>
              <w:pageBreakBefore w:val="0"/>
              <w:widowControl w:val="0"/>
              <w:kinsoku/>
              <w:wordWrap/>
              <w:overflowPunct/>
              <w:topLinePunct w:val="0"/>
              <w:autoSpaceDE/>
              <w:autoSpaceDN/>
              <w:bidi w:val="0"/>
              <w:adjustRightInd/>
              <w:spacing w:line="460" w:lineRule="exact"/>
              <w:jc w:val="left"/>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2.物品交货地点:采购人指定地点。 </w:t>
            </w:r>
          </w:p>
          <w:p w14:paraId="26100CCB">
            <w:pPr>
              <w:keepNext w:val="0"/>
              <w:keepLines w:val="0"/>
              <w:pageBreakBefore w:val="0"/>
              <w:widowControl w:val="0"/>
              <w:kinsoku/>
              <w:wordWrap/>
              <w:overflowPunct/>
              <w:topLinePunct w:val="0"/>
              <w:autoSpaceDE/>
              <w:autoSpaceDN/>
              <w:bidi w:val="0"/>
              <w:adjustRightInd/>
              <w:spacing w:line="460" w:lineRule="exact"/>
              <w:jc w:val="left"/>
              <w:textAlignment w:val="auto"/>
              <w:rPr>
                <w:rFonts w:hint="default"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3.物品交货条件:验收合格，交付使用。</w:t>
            </w:r>
          </w:p>
          <w:p w14:paraId="43367B8E">
            <w:pPr>
              <w:keepNext w:val="0"/>
              <w:keepLines w:val="0"/>
              <w:pageBreakBefore w:val="0"/>
              <w:widowControl w:val="0"/>
              <w:kinsoku/>
              <w:wordWrap/>
              <w:overflowPunct/>
              <w:topLinePunct w:val="0"/>
              <w:autoSpaceDE/>
              <w:autoSpaceDN/>
              <w:bidi w:val="0"/>
              <w:adjustRightInd/>
              <w:spacing w:line="460" w:lineRule="exact"/>
              <w:jc w:val="left"/>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4.合同支付方式:验收合格后，达到付款条件起30日内，支付合同总金额的100.00%。</w:t>
            </w:r>
          </w:p>
          <w:p w14:paraId="18E6F3F2">
            <w:pPr>
              <w:keepNext w:val="0"/>
              <w:keepLines w:val="0"/>
              <w:pageBreakBefore w:val="0"/>
              <w:widowControl w:val="0"/>
              <w:kinsoku/>
              <w:wordWrap/>
              <w:overflowPunct/>
              <w:topLinePunct w:val="0"/>
              <w:autoSpaceDE/>
              <w:autoSpaceDN/>
              <w:bidi w:val="0"/>
              <w:adjustRightInd/>
              <w:spacing w:line="460" w:lineRule="exact"/>
              <w:jc w:val="left"/>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5.货物包装方式：货物交货时应按国家有关标准要求进行包装。包装必须与运输方式相适应，包装方式的确定及包装费用均由成交人负责；由于不适当的包装而造成货物在运输过程中有任何损坏由成交人负责。</w:t>
            </w:r>
          </w:p>
        </w:tc>
      </w:tr>
    </w:tbl>
    <w:p w14:paraId="7FAA55B0">
      <w:pPr>
        <w:keepNext w:val="0"/>
        <w:keepLines w:val="0"/>
        <w:pageBreakBefore w:val="0"/>
        <w:widowControl w:val="0"/>
        <w:kinsoku/>
        <w:wordWrap/>
        <w:overflowPunct/>
        <w:topLinePunct w:val="0"/>
        <w:autoSpaceDE/>
        <w:autoSpaceDN/>
        <w:bidi w:val="0"/>
        <w:adjustRightInd/>
        <w:spacing w:line="480" w:lineRule="exact"/>
        <w:textAlignment w:val="auto"/>
      </w:pPr>
    </w:p>
    <w:sectPr>
      <w:footerReference r:id="rId3" w:type="default"/>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2000000000000000000"/>
    <w:charset w:val="86"/>
    <w:family w:val="auto"/>
    <w:pitch w:val="default"/>
    <w:sig w:usb0="A00002BF" w:usb1="184F6CFA" w:usb2="00000012" w:usb3="00000000" w:csb0="00040001" w:csb1="00000000"/>
  </w:font>
  <w:font w:name="仿宋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781F5C">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80FE7E0">
                          <w:pPr>
                            <w:pStyle w:val="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680FE7E0">
                    <w:pPr>
                      <w:pStyle w:val="2"/>
                    </w:pPr>
                    <w:r>
                      <w:fldChar w:fldCharType="begin"/>
                    </w:r>
                    <w:r>
                      <w:instrText xml:space="preserve"> PAGE  \* MERGEFORMAT </w:instrText>
                    </w:r>
                    <w:r>
                      <w:fldChar w:fldCharType="separate"/>
                    </w:r>
                    <w:r>
                      <w:t>1</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D7C5CE4"/>
    <w:multiLevelType w:val="singleLevel"/>
    <w:tmpl w:val="8D7C5CE4"/>
    <w:lvl w:ilvl="0" w:tentative="0">
      <w:start w:val="1"/>
      <w:numFmt w:val="decimal"/>
      <w:suff w:val="nothing"/>
      <w:lvlText w:val="%1、"/>
      <w:lvlJc w:val="left"/>
    </w:lvl>
  </w:abstractNum>
  <w:abstractNum w:abstractNumId="1">
    <w:nsid w:val="92A114DD"/>
    <w:multiLevelType w:val="singleLevel"/>
    <w:tmpl w:val="92A114DD"/>
    <w:lvl w:ilvl="0" w:tentative="0">
      <w:start w:val="3"/>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M3MTkwMDBkZDE1ZTU3MjRkZjM5Y2JkN2FiNDA0ZDUifQ=="/>
  </w:docVars>
  <w:rsids>
    <w:rsidRoot w:val="00000000"/>
    <w:rsid w:val="07D16002"/>
    <w:rsid w:val="088F42FD"/>
    <w:rsid w:val="09426F4B"/>
    <w:rsid w:val="133058CC"/>
    <w:rsid w:val="13536956"/>
    <w:rsid w:val="1360648C"/>
    <w:rsid w:val="15CE4437"/>
    <w:rsid w:val="16A65328"/>
    <w:rsid w:val="16CB1F2F"/>
    <w:rsid w:val="175207E1"/>
    <w:rsid w:val="1ABD79DC"/>
    <w:rsid w:val="1C3A01F8"/>
    <w:rsid w:val="1C616901"/>
    <w:rsid w:val="1D187DD7"/>
    <w:rsid w:val="1E633B1B"/>
    <w:rsid w:val="20541126"/>
    <w:rsid w:val="23DE5848"/>
    <w:rsid w:val="298A3E0B"/>
    <w:rsid w:val="2AC0200F"/>
    <w:rsid w:val="2FCA4F5D"/>
    <w:rsid w:val="35EB3E83"/>
    <w:rsid w:val="36A004A3"/>
    <w:rsid w:val="396E7785"/>
    <w:rsid w:val="399D4CBD"/>
    <w:rsid w:val="3DFA2EB5"/>
    <w:rsid w:val="3F721CD6"/>
    <w:rsid w:val="447422C7"/>
    <w:rsid w:val="46503FBA"/>
    <w:rsid w:val="492572B2"/>
    <w:rsid w:val="4CDF5675"/>
    <w:rsid w:val="50C375A7"/>
    <w:rsid w:val="51CA32CB"/>
    <w:rsid w:val="52361A31"/>
    <w:rsid w:val="5DE5267B"/>
    <w:rsid w:val="6B102A71"/>
    <w:rsid w:val="6C101972"/>
    <w:rsid w:val="72F46885"/>
    <w:rsid w:val="760B551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6">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styleId="5">
    <w:name w:val="Table Grid"/>
    <w:basedOn w:val="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7">
    <w:name w:val="Strong"/>
    <w:basedOn w:val="6"/>
    <w:qFormat/>
    <w:uiPriority w:val="0"/>
    <w:rPr>
      <w:b/>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Pages>
  <Words>686</Words>
  <Characters>785</Characters>
  <Lines>0</Lines>
  <Paragraphs>0</Paragraphs>
  <TotalTime>109</TotalTime>
  <ScaleCrop>false</ScaleCrop>
  <LinksUpToDate>false</LinksUpToDate>
  <CharactersWithSpaces>793</CharactersWithSpaces>
  <Application>WPS Office_12.1.0.17857_F1E327BC-269C-435d-A152-05C5408002CA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2021-07-13T07:56:00Z</dcterms:created>
  <dc:creator>1</dc:creator>
  <cp:lastModifiedBy>田红霞</cp:lastModifiedBy>
  <cp:lastPrinted>2024-09-12T07:09:52Z</cp:lastPrinted>
  <dcterms:modified xsi:type="dcterms:W3CDTF">2024-09-12T07:35:06Z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2052-12.1.0.17857</vt:lpwstr>
  </property>
  <property fmtid="{D5CDD505-2E9C-101B-9397-08002B2CF9AE}" pid="3" name="ICV">
    <vt:lpwstr>7155C3D85818484FBF6F584B252747F7</vt:lpwstr>
  </property>
</Properties>
</file>