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_GB2312" w:hAnsi="仿宋_GB2312" w:eastAsia="仿宋_GB2312" w:cs="仿宋_GB2312"/>
          <w:b/>
          <w:color w:val="auto"/>
        </w:rPr>
      </w:pPr>
      <w:bookmarkStart w:id="0" w:name="OLE_LINK1"/>
      <w:bookmarkStart w:id="1" w:name="OLE_LINK2"/>
      <w:r>
        <w:rPr>
          <w:rFonts w:hint="eastAsia" w:ascii="仿宋_GB2312" w:hAnsi="仿宋_GB2312" w:eastAsia="仿宋_GB2312" w:cs="仿宋_GB2312"/>
          <w:b/>
          <w:color w:val="auto"/>
        </w:rPr>
        <w:t>附件1</w:t>
      </w:r>
    </w:p>
    <w:p>
      <w:pPr>
        <w:spacing w:line="60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保险方案</w:t>
      </w:r>
    </w:p>
    <w:tbl>
      <w:tblPr>
        <w:tblStyle w:val="4"/>
        <w:tblpPr w:leftFromText="180" w:rightFromText="180" w:vertAnchor="text" w:horzAnchor="page" w:tblpXSpec="center" w:tblpY="510"/>
        <w:tblOverlap w:val="never"/>
        <w:tblW w:w="84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2"/>
        <w:gridCol w:w="2523"/>
        <w:gridCol w:w="2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3852" w:type="dxa"/>
            <w:vAlign w:val="center"/>
          </w:tcPr>
          <w:p>
            <w:pPr>
              <w:spacing w:line="40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保险责任</w:t>
            </w:r>
          </w:p>
        </w:tc>
        <w:tc>
          <w:tcPr>
            <w:tcW w:w="2523" w:type="dxa"/>
            <w:vAlign w:val="center"/>
          </w:tcPr>
          <w:p>
            <w:pPr>
              <w:spacing w:line="40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保险金额(元/人·年)</w:t>
            </w:r>
          </w:p>
        </w:tc>
        <w:tc>
          <w:tcPr>
            <w:tcW w:w="2077" w:type="dxa"/>
            <w:vAlign w:val="center"/>
          </w:tcPr>
          <w:p>
            <w:pPr>
              <w:spacing w:line="400" w:lineRule="exact"/>
              <w:jc w:val="center"/>
              <w:rPr>
                <w:rFonts w:hint="eastAsia" w:ascii="仿宋_GB2312" w:hAnsi="仿宋_GB2312" w:eastAsia="仿宋_GB2312" w:cs="仿宋_GB2312"/>
                <w:bCs/>
                <w:color w:val="auto"/>
              </w:rPr>
            </w:pPr>
            <w:r>
              <w:rPr>
                <w:rFonts w:hint="eastAsia" w:ascii="仿宋_GB2312" w:hAnsi="仿宋_GB2312" w:eastAsia="仿宋_GB2312" w:cs="仿宋_GB2312"/>
                <w:bCs/>
                <w:color w:val="auto"/>
              </w:rPr>
              <w:t>保险费(元/人·年)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jc w:val="center"/>
        </w:trPr>
        <w:tc>
          <w:tcPr>
            <w:tcW w:w="3852" w:type="dxa"/>
            <w:vAlign w:val="top"/>
          </w:tcPr>
          <w:p>
            <w:pPr>
              <w:spacing w:line="500" w:lineRule="exact"/>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因公期间意外身故、残疾</w:t>
            </w:r>
          </w:p>
        </w:tc>
        <w:tc>
          <w:tcPr>
            <w:tcW w:w="2523" w:type="dxa"/>
            <w:vAlign w:val="top"/>
          </w:tcPr>
          <w:p>
            <w:pPr>
              <w:spacing w:line="500" w:lineRule="exact"/>
              <w:jc w:val="center"/>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不低于</w:t>
            </w:r>
            <w:r>
              <w:rPr>
                <w:rFonts w:hint="eastAsia" w:ascii="仿宋_GB2312" w:hAnsi="仿宋_GB2312" w:eastAsia="仿宋_GB2312" w:cs="仿宋_GB2312"/>
                <w:bCs/>
                <w:color w:val="auto"/>
                <w:sz w:val="28"/>
                <w:szCs w:val="28"/>
              </w:rPr>
              <w:t>1,000,000</w:t>
            </w:r>
          </w:p>
        </w:tc>
        <w:tc>
          <w:tcPr>
            <w:tcW w:w="2077" w:type="dxa"/>
            <w:vMerge w:val="restart"/>
            <w:vAlign w:val="center"/>
          </w:tcPr>
          <w:p>
            <w:pPr>
              <w:spacing w:line="600" w:lineRule="exact"/>
              <w:jc w:val="center"/>
              <w:rPr>
                <w:rFonts w:hint="default" w:ascii="仿宋_GB2312" w:hAnsi="仿宋_GB2312" w:eastAsia="仿宋_GB2312" w:cs="仿宋_GB2312"/>
                <w:bCs/>
                <w:color w:val="auto"/>
                <w:lang w:val="en-US" w:eastAsia="zh-CN"/>
              </w:rPr>
            </w:pPr>
            <w:r>
              <w:rPr>
                <w:rFonts w:hint="eastAsia" w:ascii="仿宋_GB2312" w:hAnsi="仿宋_GB2312" w:eastAsia="仿宋_GB2312" w:cs="仿宋_GB2312"/>
                <w:bCs/>
                <w:color w:val="auto"/>
                <w:sz w:val="28"/>
                <w:szCs w:val="28"/>
                <w:lang w:val="en-US" w:eastAsia="zh-CN"/>
              </w:rPr>
              <w:t>最高限价为458元人/人·年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 w:hRule="atLeast"/>
          <w:jc w:val="center"/>
        </w:trPr>
        <w:tc>
          <w:tcPr>
            <w:tcW w:w="3852" w:type="dxa"/>
            <w:vAlign w:val="top"/>
          </w:tcPr>
          <w:p>
            <w:pPr>
              <w:spacing w:line="500" w:lineRule="exact"/>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非因公期间意外身故、残疾</w:t>
            </w:r>
          </w:p>
        </w:tc>
        <w:tc>
          <w:tcPr>
            <w:tcW w:w="2523" w:type="dxa"/>
            <w:vAlign w:val="top"/>
          </w:tcPr>
          <w:p>
            <w:pPr>
              <w:spacing w:line="50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lang w:val="en-US" w:eastAsia="zh-CN"/>
              </w:rPr>
              <w:t>不低于</w:t>
            </w:r>
            <w:r>
              <w:rPr>
                <w:rFonts w:hint="eastAsia" w:ascii="仿宋_GB2312" w:hAnsi="仿宋_GB2312" w:eastAsia="仿宋_GB2312" w:cs="仿宋_GB2312"/>
                <w:bCs/>
                <w:color w:val="auto"/>
                <w:sz w:val="28"/>
                <w:szCs w:val="28"/>
              </w:rPr>
              <w:t>200,000</w:t>
            </w:r>
          </w:p>
        </w:tc>
        <w:tc>
          <w:tcPr>
            <w:tcW w:w="2077" w:type="dxa"/>
            <w:vMerge w:val="continue"/>
            <w:vAlign w:val="top"/>
          </w:tcPr>
          <w:p>
            <w:pPr>
              <w:spacing w:line="600" w:lineRule="exact"/>
              <w:jc w:val="center"/>
              <w:rPr>
                <w:rFonts w:hint="eastAsia" w:ascii="仿宋_GB2312" w:hAnsi="仿宋_GB2312" w:eastAsia="仿宋_GB2312" w:cs="仿宋_GB2312"/>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jc w:val="center"/>
        </w:trPr>
        <w:tc>
          <w:tcPr>
            <w:tcW w:w="3852" w:type="dxa"/>
            <w:vAlign w:val="top"/>
          </w:tcPr>
          <w:p>
            <w:pPr>
              <w:spacing w:line="500" w:lineRule="exact"/>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因公期间急性病身故</w:t>
            </w:r>
          </w:p>
        </w:tc>
        <w:tc>
          <w:tcPr>
            <w:tcW w:w="2523" w:type="dxa"/>
            <w:vAlign w:val="top"/>
          </w:tcPr>
          <w:p>
            <w:pPr>
              <w:spacing w:line="50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lang w:val="en-US" w:eastAsia="zh-CN"/>
              </w:rPr>
              <w:t>不低于</w:t>
            </w:r>
            <w:r>
              <w:rPr>
                <w:rFonts w:hint="eastAsia" w:ascii="仿宋_GB2312" w:hAnsi="仿宋_GB2312" w:eastAsia="仿宋_GB2312" w:cs="仿宋_GB2312"/>
                <w:bCs/>
                <w:color w:val="auto"/>
                <w:sz w:val="28"/>
                <w:szCs w:val="28"/>
              </w:rPr>
              <w:t>500,000</w:t>
            </w:r>
          </w:p>
        </w:tc>
        <w:tc>
          <w:tcPr>
            <w:tcW w:w="2077" w:type="dxa"/>
            <w:vMerge w:val="continue"/>
            <w:vAlign w:val="top"/>
          </w:tcPr>
          <w:p>
            <w:pPr>
              <w:spacing w:line="600" w:lineRule="exact"/>
              <w:jc w:val="center"/>
              <w:rPr>
                <w:rFonts w:hint="eastAsia" w:ascii="仿宋_GB2312" w:hAnsi="仿宋_GB2312" w:eastAsia="仿宋_GB2312" w:cs="仿宋_GB2312"/>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jc w:val="center"/>
        </w:trPr>
        <w:tc>
          <w:tcPr>
            <w:tcW w:w="3852" w:type="dxa"/>
            <w:vAlign w:val="top"/>
          </w:tcPr>
          <w:p>
            <w:pPr>
              <w:spacing w:line="500" w:lineRule="exact"/>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非因公期间急性病身故</w:t>
            </w:r>
          </w:p>
        </w:tc>
        <w:tc>
          <w:tcPr>
            <w:tcW w:w="2523" w:type="dxa"/>
            <w:vAlign w:val="center"/>
          </w:tcPr>
          <w:p>
            <w:pPr>
              <w:spacing w:line="50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lang w:val="en-US" w:eastAsia="zh-CN"/>
              </w:rPr>
              <w:t>不低于</w:t>
            </w:r>
            <w:r>
              <w:rPr>
                <w:rFonts w:hint="eastAsia" w:ascii="仿宋_GB2312" w:hAnsi="仿宋_GB2312" w:eastAsia="仿宋_GB2312" w:cs="仿宋_GB2312"/>
                <w:bCs/>
                <w:color w:val="auto"/>
                <w:sz w:val="28"/>
                <w:szCs w:val="28"/>
              </w:rPr>
              <w:t>100,000</w:t>
            </w:r>
          </w:p>
        </w:tc>
        <w:tc>
          <w:tcPr>
            <w:tcW w:w="2077" w:type="dxa"/>
            <w:vMerge w:val="continue"/>
            <w:vAlign w:val="top"/>
          </w:tcPr>
          <w:p>
            <w:pPr>
              <w:spacing w:line="600" w:lineRule="exact"/>
              <w:jc w:val="center"/>
              <w:rPr>
                <w:rFonts w:hint="eastAsia" w:ascii="仿宋_GB2312" w:hAnsi="仿宋_GB2312" w:eastAsia="仿宋_GB2312" w:cs="仿宋_GB2312"/>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jc w:val="center"/>
        </w:trPr>
        <w:tc>
          <w:tcPr>
            <w:tcW w:w="3852" w:type="dxa"/>
            <w:vAlign w:val="top"/>
          </w:tcPr>
          <w:p>
            <w:pPr>
              <w:spacing w:line="500" w:lineRule="exact"/>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意外伤害医疗费用补偿（无免赔额，按100%赔付）</w:t>
            </w:r>
          </w:p>
        </w:tc>
        <w:tc>
          <w:tcPr>
            <w:tcW w:w="2523" w:type="dxa"/>
            <w:vAlign w:val="center"/>
          </w:tcPr>
          <w:p>
            <w:pPr>
              <w:spacing w:line="50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lang w:val="en-US" w:eastAsia="zh-CN"/>
              </w:rPr>
              <w:t>不低于</w:t>
            </w:r>
            <w:r>
              <w:rPr>
                <w:rFonts w:hint="eastAsia" w:ascii="仿宋_GB2312" w:hAnsi="仿宋_GB2312" w:eastAsia="仿宋_GB2312" w:cs="仿宋_GB2312"/>
                <w:bCs/>
                <w:color w:val="auto"/>
                <w:sz w:val="28"/>
                <w:szCs w:val="28"/>
              </w:rPr>
              <w:t>100000</w:t>
            </w:r>
          </w:p>
        </w:tc>
        <w:tc>
          <w:tcPr>
            <w:tcW w:w="2077" w:type="dxa"/>
            <w:vMerge w:val="continue"/>
            <w:vAlign w:val="top"/>
          </w:tcPr>
          <w:p>
            <w:pPr>
              <w:spacing w:line="600" w:lineRule="exact"/>
              <w:jc w:val="center"/>
              <w:rPr>
                <w:rFonts w:hint="eastAsia" w:ascii="仿宋_GB2312" w:hAnsi="仿宋_GB2312" w:eastAsia="仿宋_GB2312" w:cs="仿宋_GB2312"/>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jc w:val="center"/>
        </w:trPr>
        <w:tc>
          <w:tcPr>
            <w:tcW w:w="3852" w:type="dxa"/>
            <w:vAlign w:val="top"/>
          </w:tcPr>
          <w:p>
            <w:pPr>
              <w:spacing w:line="500" w:lineRule="exact"/>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意外伤害住院津贴（免赔0天，每次事故最高给付天数60天，年累计给付180天）</w:t>
            </w:r>
          </w:p>
        </w:tc>
        <w:tc>
          <w:tcPr>
            <w:tcW w:w="2523" w:type="dxa"/>
            <w:vAlign w:val="center"/>
          </w:tcPr>
          <w:p>
            <w:pPr>
              <w:spacing w:line="50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lang w:val="en-US" w:eastAsia="zh-CN"/>
              </w:rPr>
              <w:t>不低于</w:t>
            </w:r>
            <w:r>
              <w:rPr>
                <w:rFonts w:hint="eastAsia" w:ascii="仿宋_GB2312" w:hAnsi="仿宋_GB2312" w:eastAsia="仿宋_GB2312" w:cs="仿宋_GB2312"/>
                <w:bCs/>
                <w:color w:val="auto"/>
                <w:sz w:val="28"/>
                <w:szCs w:val="28"/>
              </w:rPr>
              <w:t>100元/天</w:t>
            </w:r>
          </w:p>
        </w:tc>
        <w:tc>
          <w:tcPr>
            <w:tcW w:w="2077" w:type="dxa"/>
            <w:vMerge w:val="continue"/>
            <w:vAlign w:val="top"/>
          </w:tcPr>
          <w:p>
            <w:pPr>
              <w:spacing w:line="600" w:lineRule="exact"/>
              <w:jc w:val="center"/>
              <w:rPr>
                <w:rFonts w:hint="eastAsia" w:ascii="仿宋_GB2312" w:hAnsi="仿宋_GB2312" w:eastAsia="仿宋_GB2312" w:cs="仿宋_GB2312"/>
                <w:bCs/>
                <w:color w:val="auto"/>
              </w:rPr>
            </w:pPr>
          </w:p>
        </w:tc>
      </w:tr>
    </w:tbl>
    <w:p>
      <w:pPr>
        <w:pStyle w:val="5"/>
        <w:spacing w:line="600" w:lineRule="exact"/>
        <w:rPr>
          <w:rFonts w:hint="eastAsia" w:ascii="仿宋_GB2312" w:hAnsi="仿宋_GB2312" w:eastAsia="仿宋_GB2312" w:cs="仿宋_GB2312"/>
          <w:bCs/>
          <w:color w:val="auto"/>
          <w:kern w:val="2"/>
          <w:szCs w:val="32"/>
        </w:rPr>
      </w:pPr>
      <w:r>
        <w:rPr>
          <w:rFonts w:hint="eastAsia" w:ascii="仿宋_GB2312" w:hAnsi="仿宋_GB2312" w:eastAsia="仿宋_GB2312" w:cs="仿宋_GB2312"/>
          <w:bCs/>
          <w:color w:val="auto"/>
          <w:kern w:val="2"/>
          <w:szCs w:val="32"/>
        </w:rPr>
        <w:t>注释：（1）在保险期间内，被保险人自获得被保资格之日起遭受意外伤害（含搭乘交通工具），并因该意外伤害导致身故、伤残的，保险人依照约定给付保险金，且给付各项保险金之和不超过该被保险人的意外伤害身故伤残保险金额。</w:t>
      </w:r>
    </w:p>
    <w:p>
      <w:pPr>
        <w:spacing w:line="600" w:lineRule="exact"/>
        <w:rPr>
          <w:rFonts w:hint="eastAsia" w:ascii="仿宋_GB2312" w:hAnsi="仿宋_GB2312" w:eastAsia="仿宋_GB2312" w:cs="仿宋_GB2312"/>
          <w:b/>
          <w:bCs/>
          <w:color w:val="auto"/>
        </w:rPr>
      </w:pPr>
      <w:r>
        <w:rPr>
          <w:rFonts w:hint="eastAsia" w:ascii="仿宋_GB2312" w:hAnsi="仿宋_GB2312" w:eastAsia="仿宋_GB2312" w:cs="仿宋_GB2312"/>
          <w:bCs/>
          <w:color w:val="auto"/>
        </w:rPr>
        <w:t>（2）意外残疾保险金额为保险限额，乙方</w:t>
      </w:r>
      <w:r>
        <w:rPr>
          <w:rFonts w:hint="eastAsia" w:ascii="仿宋_GB2312" w:hAnsi="仿宋_GB2312" w:eastAsia="仿宋_GB2312" w:cs="仿宋_GB2312"/>
          <w:b/>
          <w:bCs/>
          <w:color w:val="auto"/>
        </w:rPr>
        <w:t>按《人身保险</w:t>
      </w:r>
      <w:bookmarkStart w:id="2" w:name="_GoBack"/>
      <w:r>
        <w:rPr>
          <w:rFonts w:hint="eastAsia" w:ascii="仿宋_GB2312" w:hAnsi="仿宋_GB2312" w:eastAsia="仿宋_GB2312" w:cs="仿宋_GB2312"/>
          <w:b/>
          <w:bCs/>
          <w:color w:val="auto"/>
        </w:rPr>
        <w:t>伤残评定</w:t>
      </w:r>
      <w:bookmarkEnd w:id="2"/>
      <w:r>
        <w:rPr>
          <w:rFonts w:hint="eastAsia" w:ascii="仿宋_GB2312" w:hAnsi="仿宋_GB2312" w:eastAsia="仿宋_GB2312" w:cs="仿宋_GB2312"/>
          <w:b/>
          <w:bCs/>
          <w:color w:val="auto"/>
        </w:rPr>
        <w:t>标准及代码》（保监发</w:t>
      </w:r>
      <w:r>
        <w:rPr>
          <w:rFonts w:ascii="仿宋_GB2312" w:hAnsi="sans-serif" w:eastAsia="仿宋_GB2312" w:cs="仿宋_GB2312"/>
          <w:b/>
          <w:bCs/>
          <w:i w:val="0"/>
          <w:caps w:val="0"/>
          <w:color w:val="000000"/>
          <w:spacing w:val="0"/>
          <w:sz w:val="21"/>
          <w:szCs w:val="21"/>
        </w:rPr>
        <w:t>〔</w:t>
      </w:r>
      <w:r>
        <w:rPr>
          <w:rStyle w:val="3"/>
          <w:rFonts w:hint="eastAsia" w:ascii="仿宋_GB2312" w:hAnsi="sans-serif" w:eastAsia="仿宋_GB2312" w:cs="仿宋_GB2312"/>
          <w:b/>
          <w:bCs/>
          <w:i w:val="0"/>
          <w:caps w:val="0"/>
          <w:color w:val="000000"/>
          <w:spacing w:val="0"/>
          <w:sz w:val="21"/>
          <w:szCs w:val="21"/>
        </w:rPr>
        <w:t>2014</w:t>
      </w:r>
      <w:r>
        <w:rPr>
          <w:rFonts w:hint="eastAsia" w:ascii="仿宋_GB2312" w:hAnsi="sans-serif" w:eastAsia="仿宋_GB2312" w:cs="仿宋_GB2312"/>
          <w:b/>
          <w:bCs/>
          <w:i w:val="0"/>
          <w:caps w:val="0"/>
          <w:color w:val="000000"/>
          <w:spacing w:val="0"/>
          <w:sz w:val="21"/>
          <w:szCs w:val="21"/>
        </w:rPr>
        <w:t>〕</w:t>
      </w:r>
      <w:r>
        <w:rPr>
          <w:rFonts w:hint="eastAsia" w:ascii="仿宋_GB2312" w:hAnsi="仿宋_GB2312" w:eastAsia="仿宋_GB2312" w:cs="仿宋_GB2312"/>
          <w:b/>
          <w:bCs/>
          <w:color w:val="auto"/>
        </w:rPr>
        <w:t>6号 国家金融行业标准编号 JR/T 0083-2013）所对应伤残等级的给付比例乘以该被保险人的本项保险责任的保险金额给付伤残保险金。</w:t>
      </w:r>
    </w:p>
    <w:tbl>
      <w:tblPr>
        <w:tblStyle w:val="4"/>
        <w:tblW w:w="8154" w:type="dxa"/>
        <w:tblInd w:w="91" w:type="dxa"/>
        <w:tblLayout w:type="fixed"/>
        <w:tblCellMar>
          <w:top w:w="0" w:type="dxa"/>
          <w:left w:w="108" w:type="dxa"/>
          <w:bottom w:w="0" w:type="dxa"/>
          <w:right w:w="108" w:type="dxa"/>
        </w:tblCellMar>
      </w:tblPr>
      <w:tblGrid>
        <w:gridCol w:w="1176"/>
        <w:gridCol w:w="698"/>
        <w:gridCol w:w="698"/>
        <w:gridCol w:w="698"/>
        <w:gridCol w:w="698"/>
        <w:gridCol w:w="698"/>
        <w:gridCol w:w="698"/>
        <w:gridCol w:w="698"/>
        <w:gridCol w:w="698"/>
        <w:gridCol w:w="698"/>
        <w:gridCol w:w="696"/>
      </w:tblGrid>
      <w:tr>
        <w:tblPrEx>
          <w:tblLayout w:type="fixed"/>
          <w:tblCellMar>
            <w:top w:w="0" w:type="dxa"/>
            <w:left w:w="108" w:type="dxa"/>
            <w:bottom w:w="0" w:type="dxa"/>
            <w:right w:w="108" w:type="dxa"/>
          </w:tblCellMar>
        </w:tblPrEx>
        <w:trPr>
          <w:trHeight w:val="539" w:hRule="atLeast"/>
        </w:trPr>
        <w:tc>
          <w:tcPr>
            <w:tcW w:w="8154"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《人身保险伤残评定标准及代码》赔偿标准</w:t>
            </w:r>
          </w:p>
        </w:tc>
      </w:tr>
      <w:tr>
        <w:tblPrEx>
          <w:tblLayout w:type="fixed"/>
          <w:tblCellMar>
            <w:top w:w="0" w:type="dxa"/>
            <w:left w:w="108" w:type="dxa"/>
            <w:bottom w:w="0" w:type="dxa"/>
            <w:right w:w="108" w:type="dxa"/>
          </w:tblCellMar>
        </w:tblPrEx>
        <w:trPr>
          <w:trHeight w:val="668" w:hRule="atLeast"/>
        </w:trPr>
        <w:tc>
          <w:tcPr>
            <w:tcW w:w="11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伤残等级</w:t>
            </w:r>
          </w:p>
        </w:tc>
        <w:tc>
          <w:tcPr>
            <w:tcW w:w="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auto"/>
                <w:sz w:val="24"/>
                <w:szCs w:val="24"/>
              </w:rPr>
            </w:pPr>
            <w:r>
              <w:rPr>
                <w:rFonts w:hint="eastAsia" w:ascii="宋体" w:hAnsi="宋体" w:cs="宋体"/>
                <w:b/>
                <w:color w:val="auto"/>
                <w:kern w:val="0"/>
                <w:sz w:val="24"/>
                <w:szCs w:val="24"/>
                <w:lang w:bidi="ar"/>
              </w:rPr>
              <w:t>十级</w:t>
            </w:r>
          </w:p>
        </w:tc>
        <w:tc>
          <w:tcPr>
            <w:tcW w:w="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auto"/>
                <w:sz w:val="24"/>
                <w:szCs w:val="24"/>
              </w:rPr>
            </w:pPr>
            <w:r>
              <w:rPr>
                <w:rFonts w:hint="eastAsia" w:ascii="宋体" w:hAnsi="宋体" w:cs="宋体"/>
                <w:b/>
                <w:color w:val="auto"/>
                <w:kern w:val="0"/>
                <w:sz w:val="24"/>
                <w:szCs w:val="24"/>
                <w:lang w:bidi="ar"/>
              </w:rPr>
              <w:t>九级</w:t>
            </w:r>
          </w:p>
        </w:tc>
        <w:tc>
          <w:tcPr>
            <w:tcW w:w="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auto"/>
                <w:sz w:val="24"/>
                <w:szCs w:val="24"/>
              </w:rPr>
            </w:pPr>
            <w:r>
              <w:rPr>
                <w:rFonts w:hint="eastAsia" w:ascii="宋体" w:hAnsi="宋体" w:cs="宋体"/>
                <w:b/>
                <w:color w:val="auto"/>
                <w:kern w:val="0"/>
                <w:sz w:val="24"/>
                <w:szCs w:val="24"/>
                <w:lang w:bidi="ar"/>
              </w:rPr>
              <w:t>八级</w:t>
            </w:r>
          </w:p>
        </w:tc>
        <w:tc>
          <w:tcPr>
            <w:tcW w:w="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auto"/>
                <w:sz w:val="24"/>
                <w:szCs w:val="24"/>
              </w:rPr>
            </w:pPr>
            <w:r>
              <w:rPr>
                <w:rFonts w:hint="eastAsia" w:ascii="宋体" w:hAnsi="宋体" w:cs="宋体"/>
                <w:b/>
                <w:color w:val="auto"/>
                <w:kern w:val="0"/>
                <w:sz w:val="24"/>
                <w:szCs w:val="24"/>
                <w:lang w:bidi="ar"/>
              </w:rPr>
              <w:t>七级</w:t>
            </w:r>
          </w:p>
        </w:tc>
        <w:tc>
          <w:tcPr>
            <w:tcW w:w="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auto"/>
                <w:sz w:val="24"/>
                <w:szCs w:val="24"/>
              </w:rPr>
            </w:pPr>
            <w:r>
              <w:rPr>
                <w:rFonts w:hint="eastAsia" w:ascii="宋体" w:hAnsi="宋体" w:cs="宋体"/>
                <w:b/>
                <w:color w:val="auto"/>
                <w:kern w:val="0"/>
                <w:sz w:val="24"/>
                <w:szCs w:val="24"/>
                <w:lang w:bidi="ar"/>
              </w:rPr>
              <w:t>六级</w:t>
            </w:r>
          </w:p>
        </w:tc>
        <w:tc>
          <w:tcPr>
            <w:tcW w:w="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auto"/>
                <w:sz w:val="24"/>
                <w:szCs w:val="24"/>
              </w:rPr>
            </w:pPr>
            <w:r>
              <w:rPr>
                <w:rFonts w:hint="eastAsia" w:ascii="宋体" w:hAnsi="宋体" w:cs="宋体"/>
                <w:b/>
                <w:color w:val="auto"/>
                <w:kern w:val="0"/>
                <w:sz w:val="24"/>
                <w:szCs w:val="24"/>
                <w:lang w:bidi="ar"/>
              </w:rPr>
              <w:t>五级</w:t>
            </w:r>
          </w:p>
        </w:tc>
        <w:tc>
          <w:tcPr>
            <w:tcW w:w="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auto"/>
                <w:sz w:val="24"/>
                <w:szCs w:val="24"/>
              </w:rPr>
            </w:pPr>
            <w:r>
              <w:rPr>
                <w:rFonts w:hint="eastAsia" w:ascii="宋体" w:hAnsi="宋体" w:cs="宋体"/>
                <w:b/>
                <w:color w:val="auto"/>
                <w:kern w:val="0"/>
                <w:sz w:val="24"/>
                <w:szCs w:val="24"/>
                <w:lang w:bidi="ar"/>
              </w:rPr>
              <w:t>四级</w:t>
            </w:r>
          </w:p>
        </w:tc>
        <w:tc>
          <w:tcPr>
            <w:tcW w:w="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auto"/>
                <w:sz w:val="24"/>
                <w:szCs w:val="24"/>
              </w:rPr>
            </w:pPr>
            <w:r>
              <w:rPr>
                <w:rFonts w:hint="eastAsia" w:ascii="宋体" w:hAnsi="宋体" w:cs="宋体"/>
                <w:b/>
                <w:color w:val="auto"/>
                <w:kern w:val="0"/>
                <w:sz w:val="24"/>
                <w:szCs w:val="24"/>
                <w:lang w:bidi="ar"/>
              </w:rPr>
              <w:t>三级</w:t>
            </w:r>
          </w:p>
        </w:tc>
        <w:tc>
          <w:tcPr>
            <w:tcW w:w="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auto"/>
                <w:sz w:val="24"/>
                <w:szCs w:val="24"/>
              </w:rPr>
            </w:pPr>
            <w:r>
              <w:rPr>
                <w:rFonts w:hint="eastAsia" w:ascii="宋体" w:hAnsi="宋体" w:cs="宋体"/>
                <w:b/>
                <w:color w:val="auto"/>
                <w:kern w:val="0"/>
                <w:sz w:val="24"/>
                <w:szCs w:val="24"/>
                <w:lang w:bidi="ar"/>
              </w:rPr>
              <w:t>二级</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一级</w:t>
            </w:r>
          </w:p>
        </w:tc>
      </w:tr>
      <w:tr>
        <w:tblPrEx>
          <w:tblLayout w:type="fixed"/>
          <w:tblCellMar>
            <w:top w:w="0" w:type="dxa"/>
            <w:left w:w="108" w:type="dxa"/>
            <w:bottom w:w="0" w:type="dxa"/>
            <w:right w:w="108" w:type="dxa"/>
          </w:tblCellMar>
        </w:tblPrEx>
        <w:trPr>
          <w:trHeight w:val="539" w:hRule="atLeast"/>
        </w:trPr>
        <w:tc>
          <w:tcPr>
            <w:tcW w:w="11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赔付比例</w:t>
            </w:r>
          </w:p>
        </w:tc>
        <w:tc>
          <w:tcPr>
            <w:tcW w:w="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auto"/>
                <w:sz w:val="24"/>
                <w:szCs w:val="24"/>
              </w:rPr>
            </w:pPr>
            <w:r>
              <w:rPr>
                <w:rFonts w:hint="eastAsia" w:ascii="宋体" w:hAnsi="宋体" w:cs="宋体"/>
                <w:b/>
                <w:color w:val="auto"/>
                <w:kern w:val="0"/>
                <w:sz w:val="24"/>
                <w:szCs w:val="24"/>
                <w:lang w:bidi="ar"/>
              </w:rPr>
              <w:t>10%</w:t>
            </w:r>
          </w:p>
        </w:tc>
        <w:tc>
          <w:tcPr>
            <w:tcW w:w="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auto"/>
                <w:sz w:val="24"/>
                <w:szCs w:val="24"/>
              </w:rPr>
            </w:pPr>
            <w:r>
              <w:rPr>
                <w:rFonts w:hint="eastAsia" w:ascii="宋体" w:hAnsi="宋体" w:cs="宋体"/>
                <w:b/>
                <w:color w:val="auto"/>
                <w:kern w:val="0"/>
                <w:sz w:val="24"/>
                <w:szCs w:val="24"/>
                <w:lang w:bidi="ar"/>
              </w:rPr>
              <w:t>20%</w:t>
            </w:r>
          </w:p>
        </w:tc>
        <w:tc>
          <w:tcPr>
            <w:tcW w:w="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auto"/>
                <w:sz w:val="24"/>
                <w:szCs w:val="24"/>
              </w:rPr>
            </w:pPr>
            <w:r>
              <w:rPr>
                <w:rFonts w:hint="eastAsia" w:ascii="宋体" w:hAnsi="宋体" w:cs="宋体"/>
                <w:b/>
                <w:color w:val="auto"/>
                <w:kern w:val="0"/>
                <w:sz w:val="24"/>
                <w:szCs w:val="24"/>
                <w:lang w:bidi="ar"/>
              </w:rPr>
              <w:t>30%</w:t>
            </w:r>
          </w:p>
        </w:tc>
        <w:tc>
          <w:tcPr>
            <w:tcW w:w="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auto"/>
                <w:sz w:val="24"/>
                <w:szCs w:val="24"/>
              </w:rPr>
            </w:pPr>
            <w:r>
              <w:rPr>
                <w:rFonts w:hint="eastAsia" w:ascii="宋体" w:hAnsi="宋体" w:cs="宋体"/>
                <w:b/>
                <w:color w:val="auto"/>
                <w:kern w:val="0"/>
                <w:sz w:val="24"/>
                <w:szCs w:val="24"/>
                <w:lang w:bidi="ar"/>
              </w:rPr>
              <w:t>40%</w:t>
            </w:r>
          </w:p>
        </w:tc>
        <w:tc>
          <w:tcPr>
            <w:tcW w:w="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auto"/>
                <w:sz w:val="24"/>
                <w:szCs w:val="24"/>
              </w:rPr>
            </w:pPr>
            <w:r>
              <w:rPr>
                <w:rFonts w:hint="eastAsia" w:ascii="宋体" w:hAnsi="宋体" w:cs="宋体"/>
                <w:b/>
                <w:color w:val="auto"/>
                <w:kern w:val="0"/>
                <w:sz w:val="24"/>
                <w:szCs w:val="24"/>
                <w:lang w:bidi="ar"/>
              </w:rPr>
              <w:t>50%</w:t>
            </w:r>
          </w:p>
        </w:tc>
        <w:tc>
          <w:tcPr>
            <w:tcW w:w="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auto"/>
                <w:sz w:val="24"/>
                <w:szCs w:val="24"/>
              </w:rPr>
            </w:pPr>
            <w:r>
              <w:rPr>
                <w:rFonts w:hint="eastAsia" w:ascii="宋体" w:hAnsi="宋体" w:cs="宋体"/>
                <w:b/>
                <w:color w:val="auto"/>
                <w:kern w:val="0"/>
                <w:sz w:val="24"/>
                <w:szCs w:val="24"/>
                <w:lang w:bidi="ar"/>
              </w:rPr>
              <w:t>60%</w:t>
            </w:r>
          </w:p>
        </w:tc>
        <w:tc>
          <w:tcPr>
            <w:tcW w:w="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auto"/>
                <w:sz w:val="24"/>
                <w:szCs w:val="24"/>
              </w:rPr>
            </w:pPr>
            <w:r>
              <w:rPr>
                <w:rFonts w:hint="eastAsia" w:ascii="宋体" w:hAnsi="宋体" w:cs="宋体"/>
                <w:b/>
                <w:color w:val="auto"/>
                <w:kern w:val="0"/>
                <w:sz w:val="24"/>
                <w:szCs w:val="24"/>
                <w:lang w:bidi="ar"/>
              </w:rPr>
              <w:t>70%</w:t>
            </w:r>
          </w:p>
        </w:tc>
        <w:tc>
          <w:tcPr>
            <w:tcW w:w="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auto"/>
                <w:sz w:val="24"/>
                <w:szCs w:val="24"/>
              </w:rPr>
            </w:pPr>
            <w:r>
              <w:rPr>
                <w:rFonts w:hint="eastAsia" w:ascii="宋体" w:hAnsi="宋体" w:cs="宋体"/>
                <w:b/>
                <w:color w:val="auto"/>
                <w:kern w:val="0"/>
                <w:sz w:val="24"/>
                <w:szCs w:val="24"/>
                <w:lang w:bidi="ar"/>
              </w:rPr>
              <w:t>80%</w:t>
            </w:r>
          </w:p>
        </w:tc>
        <w:tc>
          <w:tcPr>
            <w:tcW w:w="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auto"/>
                <w:sz w:val="24"/>
                <w:szCs w:val="24"/>
              </w:rPr>
            </w:pPr>
            <w:r>
              <w:rPr>
                <w:rFonts w:hint="eastAsia" w:ascii="宋体" w:hAnsi="宋体" w:cs="宋体"/>
                <w:b/>
                <w:color w:val="auto"/>
                <w:kern w:val="0"/>
                <w:sz w:val="24"/>
                <w:szCs w:val="24"/>
                <w:lang w:bidi="ar"/>
              </w:rPr>
              <w:t>90%</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100%</w:t>
            </w:r>
          </w:p>
        </w:tc>
      </w:tr>
    </w:tbl>
    <w:p>
      <w:pP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Cs/>
          <w:color w:val="auto"/>
        </w:rPr>
        <w:br w:type="page"/>
      </w:r>
      <w:r>
        <w:rPr>
          <w:rFonts w:hint="eastAsia" w:ascii="黑体" w:hAnsi="黑体" w:eastAsia="黑体" w:cs="黑体"/>
          <w:b w:val="0"/>
          <w:bCs/>
          <w:color w:val="auto"/>
          <w:sz w:val="32"/>
          <w:szCs w:val="32"/>
          <w:lang w:val="en-US" w:eastAsia="zh-CN"/>
        </w:rPr>
        <w:t>附件2</w:t>
      </w:r>
    </w:p>
    <w:p>
      <w:pPr>
        <w:widowControl w:val="0"/>
        <w:adjustRightInd w:val="0"/>
        <w:snapToGrid w:val="0"/>
        <w:spacing w:line="600" w:lineRule="exact"/>
        <w:jc w:val="center"/>
        <w:textAlignment w:val="center"/>
        <w:rPr>
          <w:rFonts w:hint="eastAsia" w:ascii="仿宋_GB2312" w:hAnsi="仿宋_GB2312" w:eastAsia="仿宋_GB2312" w:cs="仿宋_GB2312"/>
          <w:color w:val="auto"/>
          <w:kern w:val="0"/>
          <w:sz w:val="44"/>
          <w:szCs w:val="44"/>
        </w:rPr>
      </w:pPr>
    </w:p>
    <w:p>
      <w:pPr>
        <w:widowControl w:val="0"/>
        <w:adjustRightInd w:val="0"/>
        <w:snapToGrid w:val="0"/>
        <w:spacing w:line="600" w:lineRule="exact"/>
        <w:jc w:val="center"/>
        <w:textAlignment w:val="center"/>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lang w:val="en-US" w:eastAsia="zh-CN"/>
        </w:rPr>
        <w:t>福州市应急管理局</w:t>
      </w:r>
      <w:r>
        <w:rPr>
          <w:rFonts w:hint="eastAsia" w:ascii="方正小标宋简体" w:hAnsi="方正小标宋简体" w:eastAsia="方正小标宋简体" w:cs="方正小标宋简体"/>
          <w:color w:val="auto"/>
          <w:kern w:val="0"/>
          <w:sz w:val="44"/>
          <w:szCs w:val="44"/>
        </w:rPr>
        <w:t>XXX项目报价单</w:t>
      </w:r>
    </w:p>
    <w:p>
      <w:pPr>
        <w:adjustRightInd w:val="0"/>
        <w:snapToGrid w:val="0"/>
        <w:spacing w:line="600" w:lineRule="exact"/>
        <w:ind w:firstLine="0" w:firstLineChars="0"/>
        <w:jc w:val="center"/>
        <w:rPr>
          <w:rFonts w:hint="eastAsia" w:ascii="仿宋_GB2312" w:hAnsi="仿宋_GB2312" w:eastAsia="仿宋_GB2312" w:cs="仿宋_GB2312"/>
          <w:color w:val="auto"/>
          <w:kern w:val="0"/>
          <w:sz w:val="24"/>
          <w:szCs w:val="24"/>
          <w:u w:val="none"/>
        </w:rPr>
      </w:pPr>
      <w:r>
        <w:rPr>
          <w:rFonts w:hint="eastAsia" w:ascii="仿宋_GB2312" w:hAnsi="仿宋_GB2312" w:eastAsia="仿宋_GB2312" w:cs="仿宋_GB2312"/>
          <w:color w:val="auto"/>
          <w:kern w:val="0"/>
          <w:sz w:val="24"/>
          <w:szCs w:val="24"/>
          <w:u w:val="none"/>
        </w:rPr>
        <w:t>（范本）</w:t>
      </w:r>
    </w:p>
    <w:p>
      <w:pPr>
        <w:widowControl w:val="0"/>
        <w:adjustRightInd w:val="0"/>
        <w:snapToGrid w:val="0"/>
        <w:spacing w:line="600" w:lineRule="exact"/>
        <w:jc w:val="center"/>
        <w:textAlignment w:val="center"/>
        <w:rPr>
          <w:rFonts w:hint="eastAsia" w:ascii="仿宋_GB2312" w:hAnsi="仿宋_GB2312" w:eastAsia="仿宋_GB2312" w:cs="仿宋_GB2312"/>
          <w:color w:val="auto"/>
          <w:kern w:val="0"/>
          <w:sz w:val="24"/>
          <w:szCs w:val="24"/>
        </w:rPr>
      </w:pPr>
    </w:p>
    <w:p>
      <w:pPr>
        <w:adjustRightInd w:val="0"/>
        <w:snapToGrid w:val="0"/>
        <w:spacing w:line="600" w:lineRule="exact"/>
        <w:jc w:val="righ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20XX年  月  日</w:t>
      </w:r>
    </w:p>
    <w:p>
      <w:pPr>
        <w:adjustRightInd w:val="0"/>
        <w:snapToGrid w:val="0"/>
        <w:spacing w:line="600" w:lineRule="exac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报价供应商：</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（盖章）</w:t>
      </w:r>
    </w:p>
    <w:p>
      <w:pPr>
        <w:adjustRightInd w:val="0"/>
        <w:snapToGrid w:val="0"/>
        <w:spacing w:line="600" w:lineRule="exac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联系人：</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 xml:space="preserve">          联系电话：</w:t>
      </w:r>
      <w:r>
        <w:rPr>
          <w:rFonts w:hint="eastAsia" w:ascii="仿宋_GB2312" w:hAnsi="仿宋_GB2312" w:eastAsia="仿宋_GB2312" w:cs="仿宋_GB2312"/>
          <w:color w:val="auto"/>
          <w:kern w:val="0"/>
          <w:sz w:val="24"/>
          <w:szCs w:val="24"/>
          <w:u w:val="single"/>
        </w:rPr>
        <w:t xml:space="preserve">            </w:t>
      </w:r>
    </w:p>
    <w:p>
      <w:pPr>
        <w:spacing w:line="600" w:lineRule="exact"/>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一、报价表</w:t>
      </w:r>
    </w:p>
    <w:tbl>
      <w:tblPr>
        <w:tblStyle w:val="4"/>
        <w:tblW w:w="93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511"/>
        <w:gridCol w:w="1584"/>
        <w:gridCol w:w="1142"/>
        <w:gridCol w:w="681"/>
        <w:gridCol w:w="681"/>
        <w:gridCol w:w="889"/>
        <w:gridCol w:w="990"/>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4" w:hRule="atLeast"/>
          <w:jc w:val="center"/>
        </w:trPr>
        <w:tc>
          <w:tcPr>
            <w:tcW w:w="526" w:type="dxa"/>
            <w:vAlign w:val="center"/>
          </w:tcPr>
          <w:p>
            <w:pPr>
              <w:snapToGrid w:val="0"/>
              <w:spacing w:line="600" w:lineRule="exact"/>
              <w:jc w:val="center"/>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序</w:t>
            </w:r>
          </w:p>
          <w:p>
            <w:pPr>
              <w:snapToGrid w:val="0"/>
              <w:spacing w:line="600" w:lineRule="exact"/>
              <w:jc w:val="center"/>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号</w:t>
            </w:r>
          </w:p>
        </w:tc>
        <w:tc>
          <w:tcPr>
            <w:tcW w:w="1511" w:type="dxa"/>
            <w:vAlign w:val="center"/>
          </w:tcPr>
          <w:p>
            <w:pPr>
              <w:snapToGrid w:val="0"/>
              <w:spacing w:line="600" w:lineRule="exact"/>
              <w:jc w:val="center"/>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货物</w:t>
            </w:r>
          </w:p>
          <w:p>
            <w:pPr>
              <w:snapToGrid w:val="0"/>
              <w:spacing w:line="600" w:lineRule="exact"/>
              <w:jc w:val="center"/>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名称</w:t>
            </w:r>
          </w:p>
        </w:tc>
        <w:tc>
          <w:tcPr>
            <w:tcW w:w="1584" w:type="dxa"/>
            <w:vAlign w:val="center"/>
          </w:tcPr>
          <w:p>
            <w:pPr>
              <w:snapToGrid w:val="0"/>
              <w:spacing w:line="600" w:lineRule="exact"/>
              <w:jc w:val="center"/>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品牌型号</w:t>
            </w:r>
          </w:p>
        </w:tc>
        <w:tc>
          <w:tcPr>
            <w:tcW w:w="1142" w:type="dxa"/>
            <w:vAlign w:val="center"/>
          </w:tcPr>
          <w:p>
            <w:pPr>
              <w:snapToGrid w:val="0"/>
              <w:spacing w:line="600" w:lineRule="exact"/>
              <w:jc w:val="center"/>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规格技术指标</w:t>
            </w:r>
          </w:p>
        </w:tc>
        <w:tc>
          <w:tcPr>
            <w:tcW w:w="681" w:type="dxa"/>
            <w:vAlign w:val="center"/>
          </w:tcPr>
          <w:p>
            <w:pPr>
              <w:snapToGrid w:val="0"/>
              <w:spacing w:line="600" w:lineRule="exact"/>
              <w:ind w:left="-80" w:leftChars="-38" w:right="-134" w:rightChars="-64"/>
              <w:jc w:val="center"/>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数量</w:t>
            </w:r>
          </w:p>
        </w:tc>
        <w:tc>
          <w:tcPr>
            <w:tcW w:w="681" w:type="dxa"/>
            <w:vAlign w:val="center"/>
          </w:tcPr>
          <w:p>
            <w:pPr>
              <w:snapToGrid w:val="0"/>
              <w:spacing w:line="600" w:lineRule="exact"/>
              <w:ind w:right="-107" w:rightChars="-51"/>
              <w:jc w:val="center"/>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单位</w:t>
            </w:r>
          </w:p>
        </w:tc>
        <w:tc>
          <w:tcPr>
            <w:tcW w:w="889" w:type="dxa"/>
            <w:vAlign w:val="top"/>
          </w:tcPr>
          <w:p>
            <w:pPr>
              <w:snapToGrid w:val="0"/>
              <w:spacing w:line="600" w:lineRule="exact"/>
              <w:ind w:left="-7" w:leftChars="-15" w:hanging="24" w:hangingChars="10"/>
              <w:jc w:val="center"/>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单价</w:t>
            </w:r>
          </w:p>
          <w:p>
            <w:pPr>
              <w:snapToGrid w:val="0"/>
              <w:spacing w:line="600" w:lineRule="exact"/>
              <w:jc w:val="center"/>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（元）</w:t>
            </w:r>
          </w:p>
        </w:tc>
        <w:tc>
          <w:tcPr>
            <w:tcW w:w="990" w:type="dxa"/>
            <w:vAlign w:val="center"/>
          </w:tcPr>
          <w:p>
            <w:pPr>
              <w:snapToGrid w:val="0"/>
              <w:spacing w:line="600" w:lineRule="exact"/>
              <w:jc w:val="center"/>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小计</w:t>
            </w:r>
          </w:p>
          <w:p>
            <w:pPr>
              <w:snapToGrid w:val="0"/>
              <w:spacing w:line="600" w:lineRule="exact"/>
              <w:jc w:val="center"/>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（元）</w:t>
            </w:r>
          </w:p>
        </w:tc>
        <w:tc>
          <w:tcPr>
            <w:tcW w:w="1310" w:type="dxa"/>
            <w:vAlign w:val="center"/>
          </w:tcPr>
          <w:p>
            <w:pPr>
              <w:snapToGrid w:val="0"/>
              <w:spacing w:line="600" w:lineRule="exact"/>
              <w:jc w:val="center"/>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最高限价</w:t>
            </w:r>
          </w:p>
          <w:p>
            <w:pPr>
              <w:snapToGrid w:val="0"/>
              <w:spacing w:line="600" w:lineRule="exact"/>
              <w:jc w:val="center"/>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526" w:type="dxa"/>
            <w:vAlign w:val="center"/>
          </w:tcPr>
          <w:p>
            <w:pPr>
              <w:spacing w:line="6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1511" w:type="dxa"/>
            <w:vAlign w:val="center"/>
          </w:tcPr>
          <w:p>
            <w:pPr>
              <w:spacing w:line="600" w:lineRule="exact"/>
              <w:jc w:val="center"/>
              <w:rPr>
                <w:rFonts w:hint="eastAsia" w:ascii="仿宋_GB2312" w:hAnsi="仿宋_GB2312" w:eastAsia="仿宋_GB2312" w:cs="仿宋_GB2312"/>
                <w:color w:val="auto"/>
                <w:sz w:val="24"/>
                <w:szCs w:val="24"/>
              </w:rPr>
            </w:pPr>
          </w:p>
        </w:tc>
        <w:tc>
          <w:tcPr>
            <w:tcW w:w="1584" w:type="dxa"/>
            <w:vAlign w:val="center"/>
          </w:tcPr>
          <w:p>
            <w:pPr>
              <w:spacing w:line="600" w:lineRule="exact"/>
              <w:rPr>
                <w:rFonts w:hint="eastAsia" w:ascii="仿宋_GB2312" w:hAnsi="仿宋_GB2312" w:eastAsia="仿宋_GB2312" w:cs="仿宋_GB2312"/>
                <w:color w:val="auto"/>
                <w:sz w:val="24"/>
                <w:szCs w:val="24"/>
              </w:rPr>
            </w:pPr>
          </w:p>
        </w:tc>
        <w:tc>
          <w:tcPr>
            <w:tcW w:w="1142" w:type="dxa"/>
            <w:vAlign w:val="center"/>
          </w:tcPr>
          <w:p>
            <w:pPr>
              <w:spacing w:line="600" w:lineRule="exact"/>
              <w:rPr>
                <w:rFonts w:hint="eastAsia" w:ascii="仿宋_GB2312" w:hAnsi="仿宋_GB2312" w:eastAsia="仿宋_GB2312" w:cs="仿宋_GB2312"/>
                <w:color w:val="auto"/>
                <w:sz w:val="24"/>
                <w:szCs w:val="24"/>
              </w:rPr>
            </w:pPr>
          </w:p>
        </w:tc>
        <w:tc>
          <w:tcPr>
            <w:tcW w:w="681" w:type="dxa"/>
            <w:vAlign w:val="center"/>
          </w:tcPr>
          <w:p>
            <w:pPr>
              <w:spacing w:line="600" w:lineRule="exact"/>
              <w:jc w:val="center"/>
              <w:rPr>
                <w:rFonts w:hint="eastAsia" w:ascii="仿宋_GB2312" w:hAnsi="仿宋_GB2312" w:eastAsia="仿宋_GB2312" w:cs="仿宋_GB2312"/>
                <w:color w:val="auto"/>
                <w:sz w:val="24"/>
                <w:szCs w:val="24"/>
              </w:rPr>
            </w:pPr>
          </w:p>
        </w:tc>
        <w:tc>
          <w:tcPr>
            <w:tcW w:w="681" w:type="dxa"/>
            <w:vAlign w:val="center"/>
          </w:tcPr>
          <w:p>
            <w:pPr>
              <w:spacing w:line="600" w:lineRule="exact"/>
              <w:jc w:val="center"/>
              <w:rPr>
                <w:rFonts w:hint="eastAsia" w:ascii="仿宋_GB2312" w:hAnsi="仿宋_GB2312" w:eastAsia="仿宋_GB2312" w:cs="仿宋_GB2312"/>
                <w:color w:val="auto"/>
                <w:sz w:val="24"/>
                <w:szCs w:val="24"/>
              </w:rPr>
            </w:pPr>
          </w:p>
        </w:tc>
        <w:tc>
          <w:tcPr>
            <w:tcW w:w="889" w:type="dxa"/>
            <w:vAlign w:val="top"/>
          </w:tcPr>
          <w:p>
            <w:pPr>
              <w:spacing w:line="600" w:lineRule="exact"/>
              <w:jc w:val="center"/>
              <w:rPr>
                <w:rFonts w:hint="eastAsia" w:ascii="仿宋_GB2312" w:hAnsi="仿宋_GB2312" w:eastAsia="仿宋_GB2312" w:cs="仿宋_GB2312"/>
                <w:color w:val="auto"/>
                <w:sz w:val="24"/>
                <w:szCs w:val="24"/>
              </w:rPr>
            </w:pPr>
          </w:p>
        </w:tc>
        <w:tc>
          <w:tcPr>
            <w:tcW w:w="990" w:type="dxa"/>
            <w:vAlign w:val="center"/>
          </w:tcPr>
          <w:p>
            <w:pPr>
              <w:spacing w:line="600" w:lineRule="exact"/>
              <w:jc w:val="center"/>
              <w:rPr>
                <w:rFonts w:hint="eastAsia" w:ascii="仿宋_GB2312" w:hAnsi="仿宋_GB2312" w:eastAsia="仿宋_GB2312" w:cs="仿宋_GB2312"/>
                <w:color w:val="auto"/>
                <w:sz w:val="24"/>
                <w:szCs w:val="24"/>
              </w:rPr>
            </w:pPr>
          </w:p>
        </w:tc>
        <w:tc>
          <w:tcPr>
            <w:tcW w:w="1310" w:type="dxa"/>
            <w:vMerge w:val="restart"/>
            <w:vAlign w:val="center"/>
          </w:tcPr>
          <w:p>
            <w:pPr>
              <w:spacing w:line="600" w:lineRule="exact"/>
              <w:jc w:val="righ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526" w:type="dxa"/>
            <w:vAlign w:val="center"/>
          </w:tcPr>
          <w:p>
            <w:pPr>
              <w:spacing w:line="6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1511" w:type="dxa"/>
            <w:vAlign w:val="center"/>
          </w:tcPr>
          <w:p>
            <w:pPr>
              <w:spacing w:line="600" w:lineRule="exact"/>
              <w:jc w:val="center"/>
              <w:rPr>
                <w:rFonts w:hint="eastAsia" w:ascii="仿宋_GB2312" w:hAnsi="仿宋_GB2312" w:eastAsia="仿宋_GB2312" w:cs="仿宋_GB2312"/>
                <w:color w:val="auto"/>
                <w:sz w:val="24"/>
                <w:szCs w:val="24"/>
              </w:rPr>
            </w:pPr>
          </w:p>
        </w:tc>
        <w:tc>
          <w:tcPr>
            <w:tcW w:w="1584" w:type="dxa"/>
            <w:vAlign w:val="center"/>
          </w:tcPr>
          <w:p>
            <w:pPr>
              <w:spacing w:line="600" w:lineRule="exact"/>
              <w:rPr>
                <w:rFonts w:hint="eastAsia" w:ascii="仿宋_GB2312" w:hAnsi="仿宋_GB2312" w:eastAsia="仿宋_GB2312" w:cs="仿宋_GB2312"/>
                <w:color w:val="auto"/>
                <w:sz w:val="24"/>
                <w:szCs w:val="24"/>
              </w:rPr>
            </w:pPr>
          </w:p>
        </w:tc>
        <w:tc>
          <w:tcPr>
            <w:tcW w:w="1142" w:type="dxa"/>
            <w:vAlign w:val="center"/>
          </w:tcPr>
          <w:p>
            <w:pPr>
              <w:spacing w:line="600" w:lineRule="exact"/>
              <w:rPr>
                <w:rFonts w:hint="eastAsia" w:ascii="仿宋_GB2312" w:hAnsi="仿宋_GB2312" w:eastAsia="仿宋_GB2312" w:cs="仿宋_GB2312"/>
                <w:color w:val="auto"/>
                <w:sz w:val="24"/>
                <w:szCs w:val="24"/>
              </w:rPr>
            </w:pPr>
          </w:p>
        </w:tc>
        <w:tc>
          <w:tcPr>
            <w:tcW w:w="681" w:type="dxa"/>
            <w:vAlign w:val="center"/>
          </w:tcPr>
          <w:p>
            <w:pPr>
              <w:spacing w:line="600" w:lineRule="exact"/>
              <w:jc w:val="center"/>
              <w:rPr>
                <w:rFonts w:hint="eastAsia" w:ascii="仿宋_GB2312" w:hAnsi="仿宋_GB2312" w:eastAsia="仿宋_GB2312" w:cs="仿宋_GB2312"/>
                <w:color w:val="auto"/>
                <w:sz w:val="24"/>
                <w:szCs w:val="24"/>
              </w:rPr>
            </w:pPr>
          </w:p>
        </w:tc>
        <w:tc>
          <w:tcPr>
            <w:tcW w:w="681" w:type="dxa"/>
            <w:vAlign w:val="center"/>
          </w:tcPr>
          <w:p>
            <w:pPr>
              <w:spacing w:line="600" w:lineRule="exact"/>
              <w:jc w:val="center"/>
              <w:rPr>
                <w:rFonts w:hint="eastAsia" w:ascii="仿宋_GB2312" w:hAnsi="仿宋_GB2312" w:eastAsia="仿宋_GB2312" w:cs="仿宋_GB2312"/>
                <w:color w:val="auto"/>
                <w:sz w:val="24"/>
                <w:szCs w:val="24"/>
              </w:rPr>
            </w:pPr>
          </w:p>
        </w:tc>
        <w:tc>
          <w:tcPr>
            <w:tcW w:w="889" w:type="dxa"/>
            <w:vAlign w:val="top"/>
          </w:tcPr>
          <w:p>
            <w:pPr>
              <w:spacing w:line="600" w:lineRule="exact"/>
              <w:jc w:val="center"/>
              <w:rPr>
                <w:rFonts w:hint="eastAsia" w:ascii="仿宋_GB2312" w:hAnsi="仿宋_GB2312" w:eastAsia="仿宋_GB2312" w:cs="仿宋_GB2312"/>
                <w:color w:val="auto"/>
                <w:sz w:val="24"/>
                <w:szCs w:val="24"/>
              </w:rPr>
            </w:pPr>
          </w:p>
        </w:tc>
        <w:tc>
          <w:tcPr>
            <w:tcW w:w="990" w:type="dxa"/>
            <w:vAlign w:val="center"/>
          </w:tcPr>
          <w:p>
            <w:pPr>
              <w:spacing w:line="600" w:lineRule="exact"/>
              <w:jc w:val="center"/>
              <w:rPr>
                <w:rFonts w:hint="eastAsia" w:ascii="仿宋_GB2312" w:hAnsi="仿宋_GB2312" w:eastAsia="仿宋_GB2312" w:cs="仿宋_GB2312"/>
                <w:color w:val="auto"/>
                <w:sz w:val="24"/>
                <w:szCs w:val="24"/>
              </w:rPr>
            </w:pPr>
          </w:p>
        </w:tc>
        <w:tc>
          <w:tcPr>
            <w:tcW w:w="1310" w:type="dxa"/>
            <w:vMerge w:val="continue"/>
            <w:vAlign w:val="center"/>
          </w:tcPr>
          <w:p>
            <w:pPr>
              <w:spacing w:line="600" w:lineRule="exact"/>
              <w:jc w:val="righ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526" w:type="dxa"/>
            <w:vAlign w:val="center"/>
          </w:tcPr>
          <w:p>
            <w:pPr>
              <w:spacing w:line="6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1511" w:type="dxa"/>
            <w:vAlign w:val="center"/>
          </w:tcPr>
          <w:p>
            <w:pPr>
              <w:spacing w:line="600" w:lineRule="exact"/>
              <w:jc w:val="center"/>
              <w:rPr>
                <w:rFonts w:hint="eastAsia" w:ascii="仿宋_GB2312" w:hAnsi="仿宋_GB2312" w:eastAsia="仿宋_GB2312" w:cs="仿宋_GB2312"/>
                <w:color w:val="auto"/>
                <w:sz w:val="24"/>
                <w:szCs w:val="24"/>
              </w:rPr>
            </w:pPr>
          </w:p>
        </w:tc>
        <w:tc>
          <w:tcPr>
            <w:tcW w:w="1584" w:type="dxa"/>
            <w:vAlign w:val="center"/>
          </w:tcPr>
          <w:p>
            <w:pPr>
              <w:spacing w:line="600" w:lineRule="exact"/>
              <w:rPr>
                <w:rFonts w:hint="eastAsia" w:ascii="仿宋_GB2312" w:hAnsi="仿宋_GB2312" w:eastAsia="仿宋_GB2312" w:cs="仿宋_GB2312"/>
                <w:color w:val="auto"/>
                <w:sz w:val="24"/>
                <w:szCs w:val="24"/>
              </w:rPr>
            </w:pPr>
          </w:p>
        </w:tc>
        <w:tc>
          <w:tcPr>
            <w:tcW w:w="1142" w:type="dxa"/>
            <w:vAlign w:val="center"/>
          </w:tcPr>
          <w:p>
            <w:pPr>
              <w:spacing w:line="600" w:lineRule="exact"/>
              <w:rPr>
                <w:rFonts w:hint="eastAsia" w:ascii="仿宋_GB2312" w:hAnsi="仿宋_GB2312" w:eastAsia="仿宋_GB2312" w:cs="仿宋_GB2312"/>
                <w:color w:val="auto"/>
                <w:sz w:val="24"/>
                <w:szCs w:val="24"/>
              </w:rPr>
            </w:pPr>
          </w:p>
        </w:tc>
        <w:tc>
          <w:tcPr>
            <w:tcW w:w="681" w:type="dxa"/>
            <w:vAlign w:val="center"/>
          </w:tcPr>
          <w:p>
            <w:pPr>
              <w:spacing w:line="600" w:lineRule="exact"/>
              <w:jc w:val="center"/>
              <w:rPr>
                <w:rFonts w:hint="eastAsia" w:ascii="仿宋_GB2312" w:hAnsi="仿宋_GB2312" w:eastAsia="仿宋_GB2312" w:cs="仿宋_GB2312"/>
                <w:color w:val="auto"/>
                <w:sz w:val="24"/>
                <w:szCs w:val="24"/>
              </w:rPr>
            </w:pPr>
          </w:p>
        </w:tc>
        <w:tc>
          <w:tcPr>
            <w:tcW w:w="681" w:type="dxa"/>
            <w:vAlign w:val="center"/>
          </w:tcPr>
          <w:p>
            <w:pPr>
              <w:spacing w:line="600" w:lineRule="exact"/>
              <w:jc w:val="center"/>
              <w:rPr>
                <w:rFonts w:hint="eastAsia" w:ascii="仿宋_GB2312" w:hAnsi="仿宋_GB2312" w:eastAsia="仿宋_GB2312" w:cs="仿宋_GB2312"/>
                <w:color w:val="auto"/>
                <w:sz w:val="24"/>
                <w:szCs w:val="24"/>
              </w:rPr>
            </w:pPr>
          </w:p>
        </w:tc>
        <w:tc>
          <w:tcPr>
            <w:tcW w:w="889" w:type="dxa"/>
            <w:vAlign w:val="top"/>
          </w:tcPr>
          <w:p>
            <w:pPr>
              <w:spacing w:line="600" w:lineRule="exact"/>
              <w:jc w:val="center"/>
              <w:rPr>
                <w:rFonts w:hint="eastAsia" w:ascii="仿宋_GB2312" w:hAnsi="仿宋_GB2312" w:eastAsia="仿宋_GB2312" w:cs="仿宋_GB2312"/>
                <w:color w:val="auto"/>
                <w:sz w:val="24"/>
                <w:szCs w:val="24"/>
              </w:rPr>
            </w:pPr>
          </w:p>
        </w:tc>
        <w:tc>
          <w:tcPr>
            <w:tcW w:w="990" w:type="dxa"/>
            <w:vAlign w:val="center"/>
          </w:tcPr>
          <w:p>
            <w:pPr>
              <w:spacing w:line="600" w:lineRule="exact"/>
              <w:jc w:val="center"/>
              <w:rPr>
                <w:rFonts w:hint="eastAsia" w:ascii="仿宋_GB2312" w:hAnsi="仿宋_GB2312" w:eastAsia="仿宋_GB2312" w:cs="仿宋_GB2312"/>
                <w:color w:val="auto"/>
                <w:sz w:val="24"/>
                <w:szCs w:val="24"/>
              </w:rPr>
            </w:pPr>
          </w:p>
        </w:tc>
        <w:tc>
          <w:tcPr>
            <w:tcW w:w="1310" w:type="dxa"/>
            <w:vMerge w:val="continue"/>
            <w:vAlign w:val="center"/>
          </w:tcPr>
          <w:p>
            <w:pPr>
              <w:spacing w:line="600" w:lineRule="exact"/>
              <w:jc w:val="righ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526" w:type="dxa"/>
            <w:vAlign w:val="center"/>
          </w:tcPr>
          <w:p>
            <w:pPr>
              <w:spacing w:line="6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1511" w:type="dxa"/>
            <w:vAlign w:val="center"/>
          </w:tcPr>
          <w:p>
            <w:pPr>
              <w:spacing w:line="600" w:lineRule="exact"/>
              <w:jc w:val="center"/>
              <w:rPr>
                <w:rFonts w:hint="eastAsia" w:ascii="仿宋_GB2312" w:hAnsi="仿宋_GB2312" w:eastAsia="仿宋_GB2312" w:cs="仿宋_GB2312"/>
                <w:color w:val="auto"/>
                <w:sz w:val="24"/>
                <w:szCs w:val="24"/>
              </w:rPr>
            </w:pPr>
          </w:p>
        </w:tc>
        <w:tc>
          <w:tcPr>
            <w:tcW w:w="1584" w:type="dxa"/>
            <w:vAlign w:val="center"/>
          </w:tcPr>
          <w:p>
            <w:pPr>
              <w:spacing w:line="600" w:lineRule="exact"/>
              <w:rPr>
                <w:rFonts w:hint="eastAsia" w:ascii="仿宋_GB2312" w:hAnsi="仿宋_GB2312" w:eastAsia="仿宋_GB2312" w:cs="仿宋_GB2312"/>
                <w:color w:val="auto"/>
                <w:sz w:val="24"/>
                <w:szCs w:val="24"/>
              </w:rPr>
            </w:pPr>
          </w:p>
        </w:tc>
        <w:tc>
          <w:tcPr>
            <w:tcW w:w="1142" w:type="dxa"/>
            <w:vAlign w:val="center"/>
          </w:tcPr>
          <w:p>
            <w:pPr>
              <w:spacing w:line="600" w:lineRule="exact"/>
              <w:rPr>
                <w:rFonts w:hint="eastAsia" w:ascii="仿宋_GB2312" w:hAnsi="仿宋_GB2312" w:eastAsia="仿宋_GB2312" w:cs="仿宋_GB2312"/>
                <w:color w:val="auto"/>
                <w:sz w:val="24"/>
                <w:szCs w:val="24"/>
              </w:rPr>
            </w:pPr>
          </w:p>
        </w:tc>
        <w:tc>
          <w:tcPr>
            <w:tcW w:w="681" w:type="dxa"/>
            <w:vAlign w:val="center"/>
          </w:tcPr>
          <w:p>
            <w:pPr>
              <w:spacing w:line="600" w:lineRule="exact"/>
              <w:jc w:val="center"/>
              <w:rPr>
                <w:rFonts w:hint="eastAsia" w:ascii="仿宋_GB2312" w:hAnsi="仿宋_GB2312" w:eastAsia="仿宋_GB2312" w:cs="仿宋_GB2312"/>
                <w:color w:val="auto"/>
                <w:sz w:val="24"/>
                <w:szCs w:val="24"/>
              </w:rPr>
            </w:pPr>
          </w:p>
        </w:tc>
        <w:tc>
          <w:tcPr>
            <w:tcW w:w="681" w:type="dxa"/>
            <w:vAlign w:val="center"/>
          </w:tcPr>
          <w:p>
            <w:pPr>
              <w:spacing w:line="600" w:lineRule="exact"/>
              <w:jc w:val="center"/>
              <w:rPr>
                <w:rFonts w:hint="eastAsia" w:ascii="仿宋_GB2312" w:hAnsi="仿宋_GB2312" w:eastAsia="仿宋_GB2312" w:cs="仿宋_GB2312"/>
                <w:color w:val="auto"/>
                <w:sz w:val="24"/>
                <w:szCs w:val="24"/>
              </w:rPr>
            </w:pPr>
          </w:p>
        </w:tc>
        <w:tc>
          <w:tcPr>
            <w:tcW w:w="889" w:type="dxa"/>
            <w:vAlign w:val="top"/>
          </w:tcPr>
          <w:p>
            <w:pPr>
              <w:spacing w:line="600" w:lineRule="exact"/>
              <w:jc w:val="center"/>
              <w:rPr>
                <w:rFonts w:hint="eastAsia" w:ascii="仿宋_GB2312" w:hAnsi="仿宋_GB2312" w:eastAsia="仿宋_GB2312" w:cs="仿宋_GB2312"/>
                <w:color w:val="auto"/>
                <w:sz w:val="24"/>
                <w:szCs w:val="24"/>
              </w:rPr>
            </w:pPr>
          </w:p>
        </w:tc>
        <w:tc>
          <w:tcPr>
            <w:tcW w:w="990" w:type="dxa"/>
            <w:vAlign w:val="center"/>
          </w:tcPr>
          <w:p>
            <w:pPr>
              <w:spacing w:line="600" w:lineRule="exact"/>
              <w:jc w:val="center"/>
              <w:rPr>
                <w:rFonts w:hint="eastAsia" w:ascii="仿宋_GB2312" w:hAnsi="仿宋_GB2312" w:eastAsia="仿宋_GB2312" w:cs="仿宋_GB2312"/>
                <w:color w:val="auto"/>
                <w:sz w:val="24"/>
                <w:szCs w:val="24"/>
              </w:rPr>
            </w:pPr>
          </w:p>
        </w:tc>
        <w:tc>
          <w:tcPr>
            <w:tcW w:w="1310" w:type="dxa"/>
            <w:vMerge w:val="continue"/>
            <w:vAlign w:val="center"/>
          </w:tcPr>
          <w:p>
            <w:pPr>
              <w:spacing w:line="600" w:lineRule="exact"/>
              <w:jc w:val="right"/>
              <w:rPr>
                <w:rFonts w:hint="eastAsia" w:ascii="仿宋_GB2312" w:hAnsi="仿宋_GB2312" w:eastAsia="仿宋_GB2312" w:cs="仿宋_GB2312"/>
                <w:color w:val="auto"/>
                <w:sz w:val="24"/>
                <w:szCs w:val="24"/>
              </w:rPr>
            </w:pPr>
          </w:p>
        </w:tc>
      </w:tr>
    </w:tbl>
    <w:p>
      <w:pPr>
        <w:spacing w:line="600" w:lineRule="exact"/>
        <w:ind w:left="160" w:leftChars="76" w:firstLine="240" w:firstLineChars="1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总价应包含：上述货物以及相关税费等一切费用。</w:t>
      </w:r>
    </w:p>
    <w:p>
      <w:pPr>
        <w:spacing w:line="60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报价总价超过最高限价的，视为无效报价。</w:t>
      </w:r>
    </w:p>
    <w:p>
      <w:pPr>
        <w:spacing w:line="600" w:lineRule="exact"/>
        <w:ind w:firstLine="480" w:firstLineChars="200"/>
        <w:rPr>
          <w:rFonts w:hint="eastAsia" w:ascii="仿宋_GB2312" w:hAnsi="仿宋_GB2312" w:eastAsia="仿宋_GB2312" w:cs="仿宋_GB2312"/>
          <w:color w:val="auto"/>
          <w:sz w:val="24"/>
          <w:szCs w:val="24"/>
        </w:rPr>
      </w:pPr>
    </w:p>
    <w:p>
      <w:pPr>
        <w:spacing w:line="60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合计总价：</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元（大写）</w:t>
      </w:r>
    </w:p>
    <w:p>
      <w:pPr>
        <w:spacing w:line="600" w:lineRule="exact"/>
        <w:ind w:firstLine="1680" w:firstLineChars="7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元（小写）</w:t>
      </w:r>
    </w:p>
    <w:bookmarkEnd w:id="0"/>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DF6728"/>
    <w:rsid w:val="058A4850"/>
    <w:rsid w:val="05A00ED1"/>
    <w:rsid w:val="0B5C2DB3"/>
    <w:rsid w:val="0F797C12"/>
    <w:rsid w:val="188D492C"/>
    <w:rsid w:val="2F81165F"/>
    <w:rsid w:val="405411BA"/>
    <w:rsid w:val="437638B6"/>
    <w:rsid w:val="4BDF6728"/>
    <w:rsid w:val="519862E8"/>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 w:type="paragraph" w:customStyle="1" w:styleId="5">
    <w:name w:val="Fließtext"/>
    <w:basedOn w:val="1"/>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668</Words>
  <Characters>709</Characters>
  <Lines>0</Lines>
  <Paragraphs>0</Paragraphs>
  <TotalTime>0</TotalTime>
  <ScaleCrop>false</ScaleCrop>
  <LinksUpToDate>false</LinksUpToDate>
  <CharactersWithSpaces>1277</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2024-12-12T09:34:00Z</dcterms:created>
  <dc:creator>86139</dc:creator>
  <cp:lastModifiedBy>lincan</cp:lastModifiedBy>
  <cp:lastPrinted>2025-12-25T01:38:00Z</cp:lastPrinted>
  <dcterms:modified xsi:type="dcterms:W3CDTF">2025-12-29T06:50:08Z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B82F0070A2DD4616BCD8017A8FA10A0D_13</vt:lpwstr>
  </property>
  <property fmtid="{D5CDD505-2E9C-101B-9397-08002B2CF9AE}" pid="4" name="KSOTemplateDocerSaveRecord">
    <vt:lpwstr>eyJoZGlkIjoiYzIzNjhjZjkxMjg2OGJjOTQ0NThhNzBhOGI4YTVmYWYiLCJ1c2VySWQiOiIxNjg5MzcxNTg0In0=</vt:lpwstr>
  </property>
</Properties>
</file>