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cs="宋体"/>
          <w:color w:val="000000"/>
          <w:kern w:val="0"/>
          <w:sz w:val="48"/>
          <w:szCs w:val="48"/>
        </w:rPr>
      </w:pPr>
    </w:p>
    <w:tbl>
      <w:tblPr>
        <w:tblStyle w:val="5"/>
        <w:tblW w:w="14220" w:type="dxa"/>
        <w:tblInd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00"/>
        <w:gridCol w:w="1455"/>
        <w:gridCol w:w="5025"/>
        <w:gridCol w:w="2175"/>
        <w:gridCol w:w="1080"/>
        <w:gridCol w:w="705"/>
        <w:gridCol w:w="1080"/>
        <w:gridCol w:w="720"/>
        <w:gridCol w:w="10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4220" w:type="dxa"/>
            <w:gridSpan w:val="9"/>
            <w:tcBorders>
              <w:top w:val="nil"/>
              <w:left w:val="nil"/>
              <w:bottom w:val="nil"/>
              <w:right w:val="nil"/>
            </w:tcBorders>
            <w:vAlign w:val="center"/>
          </w:tcPr>
          <w:p>
            <w:pPr>
              <w:widowControl/>
              <w:spacing w:line="23" w:lineRule="atLeast"/>
              <w:jc w:val="center"/>
              <w:textAlignment w:val="center"/>
              <w:rPr>
                <w:rFonts w:ascii="宋体" w:cs="宋体"/>
                <w:color w:val="000000"/>
                <w:sz w:val="48"/>
                <w:szCs w:val="48"/>
              </w:rPr>
            </w:pPr>
            <w:r>
              <w:rPr>
                <w:rFonts w:hint="eastAsia" w:ascii="宋体" w:hAnsi="宋体" w:cs="宋体"/>
                <w:color w:val="000000"/>
                <w:kern w:val="0"/>
                <w:sz w:val="48"/>
                <w:szCs w:val="48"/>
              </w:rPr>
              <w:t>罗源县民政局随机抽查事项清单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380" w:type="dxa"/>
            <w:gridSpan w:val="3"/>
            <w:tcBorders>
              <w:top w:val="nil"/>
              <w:left w:val="nil"/>
              <w:bottom w:val="single" w:color="auto" w:sz="4" w:space="0"/>
              <w:right w:val="nil"/>
            </w:tcBorders>
            <w:vAlign w:val="center"/>
          </w:tcPr>
          <w:p>
            <w:pPr>
              <w:widowControl/>
              <w:spacing w:line="23" w:lineRule="atLeast"/>
              <w:jc w:val="left"/>
              <w:textAlignment w:val="center"/>
              <w:rPr>
                <w:rFonts w:ascii="宋体" w:cs="宋体"/>
                <w:color w:val="000000"/>
                <w:sz w:val="24"/>
              </w:rPr>
            </w:pPr>
            <w:r>
              <w:rPr>
                <w:rFonts w:hint="eastAsia" w:ascii="宋体" w:hAnsi="宋体" w:cs="宋体"/>
                <w:color w:val="000000"/>
                <w:kern w:val="0"/>
                <w:sz w:val="24"/>
              </w:rPr>
              <w:t>单位名称：罗源县民政局</w:t>
            </w:r>
          </w:p>
        </w:tc>
        <w:tc>
          <w:tcPr>
            <w:tcW w:w="2175" w:type="dxa"/>
            <w:tcBorders>
              <w:top w:val="nil"/>
              <w:left w:val="nil"/>
              <w:bottom w:val="single" w:color="auto" w:sz="4" w:space="0"/>
              <w:right w:val="nil"/>
            </w:tcBorders>
            <w:vAlign w:val="center"/>
          </w:tcPr>
          <w:p>
            <w:pPr>
              <w:widowControl/>
              <w:spacing w:line="23" w:lineRule="atLeast"/>
              <w:jc w:val="left"/>
              <w:rPr>
                <w:rFonts w:ascii="宋体" w:cs="宋体"/>
                <w:color w:val="333333"/>
                <w:sz w:val="24"/>
              </w:rPr>
            </w:pPr>
            <w:r>
              <w:rPr>
                <w:rFonts w:ascii="宋体" w:cs="宋体"/>
                <w:color w:val="333333"/>
                <w:kern w:val="0"/>
                <w:sz w:val="24"/>
              </w:rPr>
              <w:t> </w:t>
            </w:r>
          </w:p>
        </w:tc>
        <w:tc>
          <w:tcPr>
            <w:tcW w:w="1080" w:type="dxa"/>
            <w:tcBorders>
              <w:top w:val="nil"/>
              <w:left w:val="nil"/>
              <w:bottom w:val="single" w:color="auto" w:sz="4" w:space="0"/>
              <w:right w:val="nil"/>
            </w:tcBorders>
            <w:vAlign w:val="center"/>
          </w:tcPr>
          <w:p>
            <w:pPr>
              <w:widowControl/>
              <w:spacing w:line="23" w:lineRule="atLeast"/>
              <w:jc w:val="left"/>
              <w:rPr>
                <w:rFonts w:ascii="宋体" w:cs="宋体"/>
                <w:color w:val="333333"/>
                <w:sz w:val="24"/>
              </w:rPr>
            </w:pPr>
            <w:r>
              <w:rPr>
                <w:rFonts w:ascii="宋体" w:cs="宋体"/>
                <w:color w:val="333333"/>
                <w:kern w:val="0"/>
                <w:sz w:val="24"/>
              </w:rPr>
              <w:t> </w:t>
            </w:r>
          </w:p>
        </w:tc>
        <w:tc>
          <w:tcPr>
            <w:tcW w:w="705" w:type="dxa"/>
            <w:tcBorders>
              <w:top w:val="nil"/>
              <w:left w:val="nil"/>
              <w:bottom w:val="single" w:color="auto" w:sz="4" w:space="0"/>
              <w:right w:val="nil"/>
            </w:tcBorders>
            <w:vAlign w:val="center"/>
          </w:tcPr>
          <w:p>
            <w:pPr>
              <w:widowControl/>
              <w:spacing w:line="23" w:lineRule="atLeast"/>
              <w:jc w:val="left"/>
              <w:rPr>
                <w:rFonts w:ascii="宋体" w:cs="宋体"/>
                <w:color w:val="333333"/>
                <w:sz w:val="24"/>
              </w:rPr>
            </w:pPr>
            <w:r>
              <w:rPr>
                <w:rFonts w:ascii="宋体" w:cs="宋体"/>
                <w:color w:val="333333"/>
                <w:kern w:val="0"/>
                <w:sz w:val="24"/>
              </w:rPr>
              <w:t> </w:t>
            </w:r>
          </w:p>
        </w:tc>
        <w:tc>
          <w:tcPr>
            <w:tcW w:w="1080" w:type="dxa"/>
            <w:tcBorders>
              <w:top w:val="nil"/>
              <w:left w:val="nil"/>
              <w:bottom w:val="single" w:color="auto" w:sz="4" w:space="0"/>
              <w:right w:val="nil"/>
            </w:tcBorders>
            <w:vAlign w:val="center"/>
          </w:tcPr>
          <w:p>
            <w:pPr>
              <w:widowControl/>
              <w:spacing w:line="23" w:lineRule="atLeast"/>
              <w:jc w:val="left"/>
              <w:rPr>
                <w:rFonts w:ascii="宋体" w:cs="宋体"/>
                <w:color w:val="333333"/>
                <w:sz w:val="24"/>
              </w:rPr>
            </w:pPr>
            <w:r>
              <w:rPr>
                <w:rFonts w:ascii="宋体" w:cs="宋体"/>
                <w:color w:val="333333"/>
                <w:kern w:val="0"/>
                <w:sz w:val="24"/>
              </w:rPr>
              <w:t> </w:t>
            </w:r>
          </w:p>
        </w:tc>
        <w:tc>
          <w:tcPr>
            <w:tcW w:w="720" w:type="dxa"/>
            <w:tcBorders>
              <w:top w:val="nil"/>
              <w:left w:val="nil"/>
              <w:bottom w:val="single" w:color="auto" w:sz="4" w:space="0"/>
              <w:right w:val="nil"/>
            </w:tcBorders>
            <w:vAlign w:val="center"/>
          </w:tcPr>
          <w:p>
            <w:pPr>
              <w:widowControl/>
              <w:spacing w:line="23" w:lineRule="atLeast"/>
              <w:jc w:val="left"/>
              <w:rPr>
                <w:rFonts w:ascii="宋体" w:cs="宋体"/>
                <w:color w:val="333333"/>
                <w:sz w:val="24"/>
              </w:rPr>
            </w:pPr>
            <w:r>
              <w:rPr>
                <w:rFonts w:ascii="宋体" w:cs="宋体"/>
                <w:color w:val="333333"/>
                <w:kern w:val="0"/>
                <w:sz w:val="24"/>
              </w:rPr>
              <w:t> </w:t>
            </w:r>
          </w:p>
        </w:tc>
        <w:tc>
          <w:tcPr>
            <w:tcW w:w="1080" w:type="dxa"/>
            <w:tcBorders>
              <w:top w:val="nil"/>
              <w:left w:val="nil"/>
              <w:bottom w:val="single" w:color="auto" w:sz="4" w:space="0"/>
              <w:right w:val="nil"/>
            </w:tcBorders>
            <w:vAlign w:val="center"/>
          </w:tcPr>
          <w:p>
            <w:pPr>
              <w:widowControl/>
              <w:spacing w:line="23" w:lineRule="atLeast"/>
              <w:jc w:val="left"/>
              <w:rPr>
                <w:rFonts w:ascii="宋体" w:cs="宋体"/>
                <w:color w:val="333333"/>
                <w:sz w:val="24"/>
              </w:rPr>
            </w:pPr>
            <w:r>
              <w:rPr>
                <w:rFonts w:ascii="宋体" w:cs="宋体"/>
                <w:color w:val="333333"/>
                <w:kern w:val="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0"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序号</w:t>
            </w:r>
          </w:p>
        </w:tc>
        <w:tc>
          <w:tcPr>
            <w:tcW w:w="1455"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抽查事项名称</w:t>
            </w:r>
          </w:p>
        </w:tc>
        <w:tc>
          <w:tcPr>
            <w:tcW w:w="5025"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抽查依据</w:t>
            </w:r>
          </w:p>
        </w:tc>
        <w:tc>
          <w:tcPr>
            <w:tcW w:w="2175"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抽查内容</w:t>
            </w: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抽查</w:t>
            </w:r>
            <w:r>
              <w:rPr>
                <w:rFonts w:ascii="宋体" w:cs="宋体"/>
                <w:b/>
                <w:color w:val="000000"/>
                <w:kern w:val="0"/>
                <w:sz w:val="20"/>
                <w:szCs w:val="20"/>
              </w:rPr>
              <w:br w:type="textWrapping"/>
            </w:r>
            <w:r>
              <w:rPr>
                <w:rFonts w:hint="eastAsia" w:ascii="宋体" w:hAnsi="宋体" w:cs="宋体"/>
                <w:b/>
                <w:color w:val="000000"/>
                <w:kern w:val="0"/>
                <w:sz w:val="20"/>
                <w:szCs w:val="20"/>
              </w:rPr>
              <w:t>主体</w:t>
            </w:r>
          </w:p>
        </w:tc>
        <w:tc>
          <w:tcPr>
            <w:tcW w:w="705"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市场主体数量</w:t>
            </w: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抽查</w:t>
            </w:r>
            <w:r>
              <w:rPr>
                <w:rFonts w:ascii="宋体" w:cs="宋体"/>
                <w:b/>
                <w:color w:val="000000"/>
                <w:kern w:val="0"/>
                <w:sz w:val="20"/>
                <w:szCs w:val="20"/>
              </w:rPr>
              <w:br w:type="textWrapping"/>
            </w:r>
            <w:r>
              <w:rPr>
                <w:rFonts w:hint="eastAsia" w:ascii="宋体" w:hAnsi="宋体" w:cs="宋体"/>
                <w:b/>
                <w:color w:val="000000"/>
                <w:kern w:val="0"/>
                <w:sz w:val="20"/>
                <w:szCs w:val="20"/>
              </w:rPr>
              <w:t>比例</w:t>
            </w:r>
          </w:p>
        </w:tc>
        <w:tc>
          <w:tcPr>
            <w:tcW w:w="720"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抽查</w:t>
            </w:r>
            <w:r>
              <w:rPr>
                <w:rFonts w:ascii="宋体" w:cs="宋体"/>
                <w:b/>
                <w:color w:val="000000"/>
                <w:kern w:val="0"/>
                <w:sz w:val="20"/>
                <w:szCs w:val="20"/>
              </w:rPr>
              <w:br w:type="textWrapping"/>
            </w:r>
            <w:r>
              <w:rPr>
                <w:rFonts w:hint="eastAsia" w:ascii="宋体" w:hAnsi="宋体" w:cs="宋体"/>
                <w:b/>
                <w:color w:val="000000"/>
                <w:kern w:val="0"/>
                <w:sz w:val="20"/>
                <w:szCs w:val="20"/>
              </w:rPr>
              <w:t>频次</w:t>
            </w: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b/>
                <w:color w:val="000000"/>
                <w:sz w:val="20"/>
                <w:szCs w:val="20"/>
              </w:rPr>
            </w:pPr>
            <w:r>
              <w:rPr>
                <w:rFonts w:hint="eastAsia" w:ascii="宋体" w:hAnsi="宋体" w:cs="宋体"/>
                <w:b/>
                <w:color w:val="000000"/>
                <w:kern w:val="0"/>
                <w:sz w:val="20"/>
                <w:szCs w:val="2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6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1</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textAlignment w:val="center"/>
              <w:rPr>
                <w:rFonts w:ascii="宋体" w:cs="宋体"/>
                <w:color w:val="000000"/>
                <w:sz w:val="20"/>
                <w:szCs w:val="20"/>
              </w:rPr>
            </w:pPr>
            <w:r>
              <w:rPr>
                <w:rFonts w:hint="eastAsia" w:ascii="宋体" w:hAnsi="宋体" w:cs="宋体"/>
                <w:color w:val="000000"/>
                <w:kern w:val="0"/>
                <w:sz w:val="20"/>
                <w:szCs w:val="20"/>
              </w:rPr>
              <w:t>对基金会的监督检查</w:t>
            </w:r>
          </w:p>
        </w:tc>
        <w:tc>
          <w:tcPr>
            <w:tcW w:w="502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宋体" w:cs="宋体"/>
                <w:color w:val="00000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《基金会管理条例》（国务院令第</w:t>
            </w:r>
            <w:r>
              <w:rPr>
                <w:rFonts w:ascii="宋体" w:hAnsi="宋体" w:cs="宋体"/>
                <w:color w:val="000000"/>
                <w:kern w:val="0"/>
                <w:sz w:val="20"/>
                <w:szCs w:val="20"/>
              </w:rPr>
              <w:t>400</w:t>
            </w:r>
            <w:r>
              <w:rPr>
                <w:rFonts w:hint="eastAsia" w:ascii="宋体" w:hAnsi="宋体" w:cs="宋体"/>
                <w:color w:val="000000"/>
                <w:kern w:val="0"/>
                <w:sz w:val="20"/>
                <w:szCs w:val="20"/>
              </w:rPr>
              <w:t>号）</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第六条</w:t>
            </w:r>
            <w:r>
              <w:rPr>
                <w:rFonts w:ascii="宋体" w:hAnsi="宋体" w:cs="宋体"/>
                <w:color w:val="000000"/>
                <w:kern w:val="0"/>
                <w:sz w:val="24"/>
              </w:rPr>
              <w:t xml:space="preserve"> </w:t>
            </w:r>
            <w:r>
              <w:rPr>
                <w:rFonts w:hint="eastAsia" w:ascii="宋体" w:hAnsi="宋体" w:cs="宋体"/>
                <w:color w:val="000000"/>
                <w:kern w:val="0"/>
                <w:sz w:val="20"/>
                <w:szCs w:val="20"/>
              </w:rPr>
              <w:t>国务院民政部门和市、自治区、直辖市人民政府民政部门是基金会的登记管理机关。</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第三十四条</w:t>
            </w:r>
            <w:r>
              <w:rPr>
                <w:rFonts w:ascii="宋体" w:hAnsi="宋体" w:cs="宋体"/>
                <w:color w:val="000000"/>
                <w:kern w:val="0"/>
                <w:sz w:val="24"/>
              </w:rPr>
              <w:t xml:space="preserve">  </w:t>
            </w:r>
            <w:r>
              <w:rPr>
                <w:rFonts w:hint="eastAsia" w:ascii="宋体" w:hAnsi="宋体" w:cs="宋体"/>
                <w:color w:val="000000"/>
                <w:kern w:val="0"/>
                <w:sz w:val="20"/>
                <w:szCs w:val="20"/>
              </w:rPr>
              <w:t>基金会登记管理机关履行下列监督管理职责：</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（一）对基金会、境外基金会代表机构实施年度检查；</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（二）对基金会、境外基金会代表机构依照本条例及其章程开展活动的情况进行日常监督管理；</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（三）对基金会、境外基金会代表机构违反本条例的行为依法进行处罚。</w:t>
            </w:r>
            <w:r>
              <w:rPr>
                <w:rFonts w:ascii="宋体" w:cs="宋体"/>
                <w:color w:val="000000"/>
                <w:kern w:val="0"/>
                <w:sz w:val="20"/>
                <w:szCs w:val="20"/>
              </w:rPr>
              <w:br w:type="textWrapping"/>
            </w:r>
            <w:r>
              <w:rPr>
                <w:rFonts w:ascii="宋体" w:hAnsi="宋体" w:cs="宋体"/>
                <w:color w:val="000000"/>
                <w:kern w:val="0"/>
                <w:sz w:val="24"/>
              </w:rPr>
              <w:t xml:space="preserve">    </w:t>
            </w:r>
            <w:r>
              <w:rPr>
                <w:rFonts w:ascii="宋体" w:hAnsi="宋体" w:cs="宋体"/>
                <w:color w:val="000000"/>
                <w:kern w:val="0"/>
                <w:sz w:val="20"/>
                <w:szCs w:val="20"/>
              </w:rPr>
              <w:t>2.</w:t>
            </w:r>
            <w:r>
              <w:rPr>
                <w:rFonts w:hint="eastAsia" w:ascii="宋体" w:hAnsi="宋体" w:cs="宋体"/>
                <w:color w:val="000000"/>
                <w:kern w:val="0"/>
                <w:sz w:val="20"/>
                <w:szCs w:val="20"/>
              </w:rPr>
              <w:t>《基金会信息公布办法》（民政部令第</w:t>
            </w:r>
            <w:r>
              <w:rPr>
                <w:rFonts w:ascii="宋体" w:hAnsi="宋体" w:cs="宋体"/>
                <w:color w:val="000000"/>
                <w:kern w:val="0"/>
                <w:sz w:val="20"/>
                <w:szCs w:val="20"/>
              </w:rPr>
              <w:t>31</w:t>
            </w:r>
            <w:r>
              <w:rPr>
                <w:rFonts w:hint="eastAsia" w:ascii="宋体" w:hAnsi="宋体" w:cs="宋体"/>
                <w:color w:val="000000"/>
                <w:kern w:val="0"/>
                <w:sz w:val="20"/>
                <w:szCs w:val="20"/>
              </w:rPr>
              <w:t>号，</w:t>
            </w:r>
            <w:r>
              <w:rPr>
                <w:rFonts w:ascii="宋体" w:hAnsi="宋体" w:cs="宋体"/>
                <w:color w:val="000000"/>
                <w:kern w:val="0"/>
                <w:sz w:val="20"/>
                <w:szCs w:val="20"/>
              </w:rPr>
              <w:t>2006</w:t>
            </w:r>
            <w:r>
              <w:rPr>
                <w:rFonts w:hint="eastAsia" w:ascii="宋体" w:hAnsi="宋体" w:cs="宋体"/>
                <w:color w:val="000000"/>
                <w:kern w:val="0"/>
                <w:sz w:val="20"/>
                <w:szCs w:val="20"/>
              </w:rPr>
              <w:t>年</w:t>
            </w:r>
            <w:r>
              <w:rPr>
                <w:rFonts w:ascii="宋体" w:hAnsi="宋体" w:cs="宋体"/>
                <w:color w:val="000000"/>
                <w:kern w:val="0"/>
                <w:sz w:val="20"/>
                <w:szCs w:val="20"/>
              </w:rPr>
              <w:t>1</w:t>
            </w:r>
            <w:r>
              <w:rPr>
                <w:rFonts w:hint="eastAsia" w:ascii="宋体" w:hAnsi="宋体" w:cs="宋体"/>
                <w:color w:val="000000"/>
                <w:kern w:val="0"/>
                <w:sz w:val="20"/>
                <w:szCs w:val="20"/>
              </w:rPr>
              <w:t>月</w:t>
            </w:r>
            <w:r>
              <w:rPr>
                <w:rFonts w:ascii="宋体" w:hAnsi="宋体" w:cs="宋体"/>
                <w:color w:val="000000"/>
                <w:kern w:val="0"/>
                <w:sz w:val="20"/>
                <w:szCs w:val="20"/>
              </w:rPr>
              <w:t>12</w:t>
            </w:r>
            <w:r>
              <w:rPr>
                <w:rFonts w:hint="eastAsia" w:ascii="宋体" w:hAnsi="宋体" w:cs="宋体"/>
                <w:color w:val="000000"/>
                <w:kern w:val="0"/>
                <w:sz w:val="20"/>
                <w:szCs w:val="20"/>
              </w:rPr>
              <w:t>日实施）</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第十四条</w:t>
            </w:r>
            <w:r>
              <w:rPr>
                <w:rFonts w:ascii="宋体" w:hAnsi="宋体" w:cs="宋体"/>
                <w:color w:val="000000"/>
                <w:kern w:val="0"/>
                <w:sz w:val="24"/>
              </w:rPr>
              <w:t xml:space="preserve"> </w:t>
            </w:r>
            <w:r>
              <w:rPr>
                <w:rFonts w:hint="eastAsia" w:ascii="宋体" w:hAnsi="宋体" w:cs="宋体"/>
                <w:color w:val="000000"/>
                <w:kern w:val="0"/>
                <w:sz w:val="20"/>
                <w:szCs w:val="20"/>
              </w:rPr>
              <w:t>登记管理机关依法对信息公布活动进行监督管理，建立信息公布义务人诚信记录。</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cs="宋体"/>
                <w:color w:val="000000"/>
                <w:sz w:val="20"/>
                <w:szCs w:val="20"/>
              </w:rPr>
            </w:pPr>
            <w:r>
              <w:rPr>
                <w:rFonts w:hint="eastAsia" w:ascii="宋体" w:hAnsi="宋体" w:cs="宋体"/>
                <w:color w:val="000000"/>
                <w:kern w:val="0"/>
                <w:sz w:val="20"/>
                <w:szCs w:val="20"/>
              </w:rPr>
              <w:t>对县级地方性非公募基金会实施监督检查，对</w:t>
            </w:r>
            <w:r>
              <w:rPr>
                <w:rFonts w:hint="eastAsia" w:ascii="宋体" w:hAnsi="宋体" w:cs="宋体"/>
                <w:color w:val="000000"/>
                <w:kern w:val="0"/>
                <w:sz w:val="20"/>
                <w:szCs w:val="20"/>
                <w:lang w:val="en-US" w:eastAsia="zh-CN"/>
              </w:rPr>
              <w:t>县</w:t>
            </w:r>
            <w:r>
              <w:rPr>
                <w:rFonts w:hint="eastAsia" w:ascii="宋体" w:hAnsi="宋体" w:cs="宋体"/>
                <w:color w:val="000000"/>
                <w:kern w:val="0"/>
                <w:sz w:val="20"/>
                <w:szCs w:val="20"/>
              </w:rPr>
              <w:t>级地方性非公募基金会信息发布、依照《基金会管理条例》及其章程开展活动的情况进行日常监督管理。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hint="eastAsia" w:ascii="宋体" w:hAnsi="宋体" w:cs="宋体"/>
                <w:color w:val="000000"/>
                <w:kern w:val="0"/>
                <w:sz w:val="20"/>
                <w:szCs w:val="20"/>
              </w:rPr>
              <w:t>县民政局</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hint="eastAsia" w:ascii="宋体" w:hAnsi="宋体" w:cs="宋体"/>
                <w:color w:val="000000"/>
                <w:kern w:val="0"/>
                <w:sz w:val="20"/>
                <w:szCs w:val="20"/>
              </w:rPr>
              <w:t>每年</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ascii="宋体" w:cs="宋体"/>
                <w:color w:val="000000"/>
                <w:kern w:val="0"/>
                <w:sz w:val="20"/>
                <w:szCs w:val="2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17"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2</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textAlignment w:val="center"/>
              <w:rPr>
                <w:rFonts w:ascii="宋体" w:cs="宋体"/>
                <w:color w:val="000000"/>
                <w:sz w:val="20"/>
                <w:szCs w:val="20"/>
              </w:rPr>
            </w:pPr>
            <w:r>
              <w:rPr>
                <w:rFonts w:hint="eastAsia" w:ascii="宋体" w:hAnsi="宋体" w:cs="宋体"/>
                <w:color w:val="000000"/>
                <w:kern w:val="0"/>
                <w:sz w:val="20"/>
                <w:szCs w:val="20"/>
              </w:rPr>
              <w:t>对社会团体的监督管理</w:t>
            </w:r>
          </w:p>
        </w:tc>
        <w:tc>
          <w:tcPr>
            <w:tcW w:w="502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宋体" w:cs="宋体"/>
                <w:color w:val="000000"/>
                <w:sz w:val="20"/>
                <w:szCs w:val="20"/>
              </w:rPr>
            </w:pPr>
            <w:r>
              <w:rPr>
                <w:rFonts w:hint="eastAsia" w:ascii="宋体" w:hAnsi="宋体" w:cs="宋体"/>
                <w:color w:val="000000"/>
                <w:kern w:val="0"/>
                <w:sz w:val="20"/>
                <w:szCs w:val="20"/>
              </w:rPr>
              <w:t>《社会团体登记管理条例》（国务院令第</w:t>
            </w:r>
            <w:r>
              <w:rPr>
                <w:rFonts w:ascii="宋体" w:hAnsi="宋体" w:cs="宋体"/>
                <w:color w:val="000000"/>
                <w:kern w:val="0"/>
                <w:sz w:val="20"/>
                <w:szCs w:val="20"/>
              </w:rPr>
              <w:t>250</w:t>
            </w:r>
            <w:r>
              <w:rPr>
                <w:rFonts w:hint="eastAsia" w:ascii="宋体" w:hAnsi="宋体" w:cs="宋体"/>
                <w:color w:val="000000"/>
                <w:kern w:val="0"/>
                <w:sz w:val="20"/>
                <w:szCs w:val="20"/>
              </w:rPr>
              <w:t>号）</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第六条</w:t>
            </w:r>
            <w:r>
              <w:rPr>
                <w:rFonts w:ascii="宋体" w:hAnsi="宋体" w:cs="宋体"/>
                <w:color w:val="000000"/>
                <w:kern w:val="0"/>
                <w:sz w:val="24"/>
              </w:rPr>
              <w:t xml:space="preserve"> </w:t>
            </w:r>
            <w:r>
              <w:rPr>
                <w:rFonts w:hint="eastAsia" w:ascii="宋体" w:hAnsi="宋体" w:cs="宋体"/>
                <w:color w:val="000000"/>
                <w:kern w:val="0"/>
                <w:sz w:val="20"/>
                <w:szCs w:val="20"/>
              </w:rPr>
              <w:t>国务院民政部门和县级以上地方各级人民政府民政部门是本级人民政府的社会团体登记管理机关</w:t>
            </w:r>
            <w:r>
              <w:rPr>
                <w:rFonts w:ascii="宋体" w:hAnsi="宋体" w:cs="宋体"/>
                <w:color w:val="000000"/>
                <w:kern w:val="0"/>
                <w:sz w:val="20"/>
                <w:szCs w:val="20"/>
              </w:rPr>
              <w:t>(</w:t>
            </w:r>
            <w:r>
              <w:rPr>
                <w:rFonts w:hint="eastAsia" w:ascii="宋体" w:hAnsi="宋体" w:cs="宋体"/>
                <w:color w:val="000000"/>
                <w:kern w:val="0"/>
                <w:sz w:val="20"/>
                <w:szCs w:val="20"/>
              </w:rPr>
              <w:t>以下简称登记管理机关</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第二十七条</w:t>
            </w:r>
            <w:r>
              <w:rPr>
                <w:rFonts w:ascii="宋体" w:hAnsi="宋体" w:cs="宋体"/>
                <w:color w:val="000000"/>
                <w:kern w:val="0"/>
                <w:sz w:val="24"/>
              </w:rPr>
              <w:t xml:space="preserve"> </w:t>
            </w:r>
            <w:r>
              <w:rPr>
                <w:rFonts w:hint="eastAsia" w:ascii="宋体" w:hAnsi="宋体" w:cs="宋体"/>
                <w:color w:val="000000"/>
                <w:kern w:val="0"/>
                <w:sz w:val="20"/>
                <w:szCs w:val="20"/>
              </w:rPr>
              <w:t>登记管理机关履行下列监督管理职责：</w:t>
            </w:r>
            <w:r>
              <w:rPr>
                <w:rFonts w:ascii="宋体" w:cs="宋体"/>
                <w:color w:val="000000"/>
                <w:kern w:val="0"/>
                <w:sz w:val="20"/>
                <w:szCs w:val="20"/>
              </w:rPr>
              <w:br w:type="textWrapping"/>
            </w:r>
            <w:r>
              <w:rPr>
                <w:rFonts w:ascii="宋体" w:hAnsi="宋体" w:cs="宋体"/>
                <w:color w:val="000000"/>
                <w:kern w:val="0"/>
                <w:sz w:val="24"/>
              </w:rPr>
              <w:t xml:space="preserve">    </w:t>
            </w:r>
            <w:r>
              <w:rPr>
                <w:rFonts w:ascii="宋体" w:hAnsi="宋体" w:cs="宋体"/>
                <w:color w:val="000000"/>
                <w:kern w:val="0"/>
                <w:sz w:val="20"/>
                <w:szCs w:val="20"/>
              </w:rPr>
              <w:t>(</w:t>
            </w:r>
            <w:r>
              <w:rPr>
                <w:rFonts w:hint="eastAsia" w:ascii="宋体" w:hAnsi="宋体" w:cs="宋体"/>
                <w:color w:val="000000"/>
                <w:kern w:val="0"/>
                <w:sz w:val="20"/>
                <w:szCs w:val="20"/>
              </w:rPr>
              <w:t>一</w:t>
            </w:r>
            <w:r>
              <w:rPr>
                <w:rFonts w:ascii="宋体" w:hAnsi="宋体" w:cs="宋体"/>
                <w:color w:val="000000"/>
                <w:kern w:val="0"/>
                <w:sz w:val="20"/>
                <w:szCs w:val="20"/>
              </w:rPr>
              <w:t>)</w:t>
            </w:r>
            <w:r>
              <w:rPr>
                <w:rFonts w:hint="eastAsia" w:ascii="宋体" w:hAnsi="宋体" w:cs="宋体"/>
                <w:color w:val="000000"/>
                <w:kern w:val="0"/>
                <w:sz w:val="20"/>
                <w:szCs w:val="20"/>
              </w:rPr>
              <w:t>负责社会团体的成立、变更、注销的登记或者备案</w:t>
            </w:r>
            <w:r>
              <w:rPr>
                <w:rFonts w:ascii="宋体" w:hAnsi="宋体" w:cs="宋体"/>
                <w:color w:val="000000"/>
                <w:kern w:val="0"/>
                <w:sz w:val="20"/>
                <w:szCs w:val="20"/>
              </w:rPr>
              <w:t>;</w:t>
            </w:r>
            <w:r>
              <w:rPr>
                <w:rFonts w:ascii="宋体" w:hAnsi="宋体" w:cs="宋体"/>
                <w:color w:val="000000"/>
                <w:kern w:val="0"/>
                <w:sz w:val="20"/>
                <w:szCs w:val="20"/>
              </w:rPr>
              <w:br w:type="textWrapping"/>
            </w:r>
            <w:r>
              <w:rPr>
                <w:rFonts w:ascii="宋体" w:hAnsi="宋体" w:cs="宋体"/>
                <w:color w:val="000000"/>
                <w:kern w:val="0"/>
                <w:sz w:val="24"/>
              </w:rPr>
              <w:t xml:space="preserve">    </w:t>
            </w:r>
            <w:r>
              <w:rPr>
                <w:rFonts w:ascii="宋体" w:hAnsi="宋体" w:cs="宋体"/>
                <w:color w:val="000000"/>
                <w:kern w:val="0"/>
                <w:sz w:val="20"/>
                <w:szCs w:val="20"/>
              </w:rPr>
              <w:t>(</w:t>
            </w:r>
            <w:r>
              <w:rPr>
                <w:rFonts w:hint="eastAsia" w:ascii="宋体" w:hAnsi="宋体" w:cs="宋体"/>
                <w:color w:val="000000"/>
                <w:kern w:val="0"/>
                <w:sz w:val="20"/>
                <w:szCs w:val="20"/>
              </w:rPr>
              <w:t>二</w:t>
            </w:r>
            <w:r>
              <w:rPr>
                <w:rFonts w:ascii="宋体" w:hAnsi="宋体" w:cs="宋体"/>
                <w:color w:val="000000"/>
                <w:kern w:val="0"/>
                <w:sz w:val="20"/>
                <w:szCs w:val="20"/>
              </w:rPr>
              <w:t>)</w:t>
            </w:r>
            <w:r>
              <w:rPr>
                <w:rFonts w:hint="eastAsia" w:ascii="宋体" w:hAnsi="宋体" w:cs="宋体"/>
                <w:color w:val="000000"/>
                <w:kern w:val="0"/>
                <w:sz w:val="20"/>
                <w:szCs w:val="20"/>
              </w:rPr>
              <w:t>对社会团体实施年度检查</w:t>
            </w:r>
            <w:r>
              <w:rPr>
                <w:rFonts w:ascii="宋体" w:hAnsi="宋体" w:cs="宋体"/>
                <w:color w:val="000000"/>
                <w:kern w:val="0"/>
                <w:sz w:val="20"/>
                <w:szCs w:val="20"/>
              </w:rPr>
              <w:t>;</w:t>
            </w:r>
            <w:r>
              <w:rPr>
                <w:rFonts w:ascii="宋体" w:hAnsi="宋体" w:cs="宋体"/>
                <w:color w:val="000000"/>
                <w:kern w:val="0"/>
                <w:sz w:val="20"/>
                <w:szCs w:val="20"/>
              </w:rPr>
              <w:br w:type="textWrapping"/>
            </w:r>
            <w:r>
              <w:rPr>
                <w:rFonts w:ascii="宋体" w:hAnsi="宋体" w:cs="宋体"/>
                <w:color w:val="000000"/>
                <w:kern w:val="0"/>
                <w:sz w:val="24"/>
              </w:rPr>
              <w:t xml:space="preserve">    </w:t>
            </w:r>
            <w:r>
              <w:rPr>
                <w:rFonts w:ascii="宋体" w:hAnsi="宋体" w:cs="宋体"/>
                <w:color w:val="000000"/>
                <w:kern w:val="0"/>
                <w:sz w:val="20"/>
                <w:szCs w:val="20"/>
              </w:rPr>
              <w:t>(</w:t>
            </w:r>
            <w:r>
              <w:rPr>
                <w:rFonts w:hint="eastAsia" w:ascii="宋体" w:hAnsi="宋体" w:cs="宋体"/>
                <w:color w:val="000000"/>
                <w:kern w:val="0"/>
                <w:sz w:val="20"/>
                <w:szCs w:val="20"/>
              </w:rPr>
              <w:t>三</w:t>
            </w:r>
            <w:r>
              <w:rPr>
                <w:rFonts w:ascii="宋体" w:hAnsi="宋体" w:cs="宋体"/>
                <w:color w:val="000000"/>
                <w:kern w:val="0"/>
                <w:sz w:val="20"/>
                <w:szCs w:val="20"/>
              </w:rPr>
              <w:t>)</w:t>
            </w:r>
            <w:r>
              <w:rPr>
                <w:rFonts w:hint="eastAsia" w:ascii="宋体" w:hAnsi="宋体" w:cs="宋体"/>
                <w:color w:val="000000"/>
                <w:kern w:val="0"/>
                <w:sz w:val="20"/>
                <w:szCs w:val="20"/>
              </w:rPr>
              <w:t>对社会团体违反本条例的问题进行监督检查，对社会团体违反本条例的行为给予行政处罚。</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cs="宋体"/>
                <w:color w:val="000000"/>
                <w:sz w:val="20"/>
                <w:szCs w:val="20"/>
              </w:rPr>
            </w:pPr>
            <w:r>
              <w:rPr>
                <w:rFonts w:hint="eastAsia" w:ascii="宋体" w:hAnsi="宋体" w:cs="宋体"/>
                <w:color w:val="000000"/>
                <w:kern w:val="0"/>
                <w:sz w:val="20"/>
                <w:szCs w:val="20"/>
              </w:rPr>
              <w:t>对社会团体成立、变更、注销的登记或者备案进行监督检查</w:t>
            </w:r>
            <w:r>
              <w:rPr>
                <w:rFonts w:ascii="宋体" w:hAnsi="宋体" w:cs="宋体"/>
                <w:color w:val="000000"/>
                <w:kern w:val="0"/>
                <w:sz w:val="20"/>
                <w:szCs w:val="20"/>
              </w:rPr>
              <w:t>;</w:t>
            </w:r>
            <w:r>
              <w:rPr>
                <w:rFonts w:hint="eastAsia" w:ascii="宋体" w:hAnsi="宋体" w:cs="宋体"/>
                <w:color w:val="000000"/>
                <w:kern w:val="0"/>
                <w:sz w:val="20"/>
                <w:szCs w:val="20"/>
                <w:lang w:val="en-US" w:eastAsia="zh-CN"/>
              </w:rPr>
              <w:t>县级</w:t>
            </w:r>
            <w:r>
              <w:rPr>
                <w:rFonts w:hint="eastAsia" w:ascii="宋体" w:hAnsi="宋体" w:cs="宋体"/>
                <w:color w:val="000000"/>
                <w:kern w:val="0"/>
                <w:sz w:val="20"/>
                <w:szCs w:val="20"/>
              </w:rPr>
              <w:t>社会团体换届或者更换法定代表人之前的财务审计情况进行监督检查；实施年度检查，对</w:t>
            </w:r>
            <w:r>
              <w:rPr>
                <w:rFonts w:hint="eastAsia" w:ascii="宋体" w:hAnsi="宋体" w:cs="宋体"/>
                <w:color w:val="000000"/>
                <w:kern w:val="0"/>
                <w:sz w:val="20"/>
                <w:szCs w:val="20"/>
                <w:lang w:val="en-US" w:eastAsia="zh-CN"/>
              </w:rPr>
              <w:t>县级</w:t>
            </w:r>
            <w:r>
              <w:rPr>
                <w:rFonts w:hint="eastAsia" w:ascii="宋体" w:hAnsi="宋体" w:cs="宋体"/>
                <w:color w:val="000000"/>
                <w:kern w:val="0"/>
                <w:sz w:val="20"/>
                <w:szCs w:val="20"/>
              </w:rPr>
              <w:t>社会团体违反《社会团体登记管理条例》的其他行为进行监督检查。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hint="eastAsia" w:ascii="宋体" w:hAnsi="宋体" w:cs="宋体"/>
                <w:color w:val="000000"/>
                <w:sz w:val="20"/>
                <w:szCs w:val="20"/>
              </w:rPr>
              <w:t>县民政局</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hint="default" w:ascii="宋体" w:eastAsia="宋体" w:cs="宋体"/>
                <w:color w:val="000000"/>
                <w:sz w:val="20"/>
                <w:szCs w:val="20"/>
                <w:lang w:val="en-US" w:eastAsia="zh-CN"/>
              </w:rPr>
            </w:pPr>
            <w:r>
              <w:rPr>
                <w:rFonts w:hint="eastAsia" w:ascii="宋体" w:hAnsi="宋体" w:cs="宋体"/>
                <w:color w:val="000000"/>
                <w:sz w:val="20"/>
                <w:szCs w:val="20"/>
                <w:lang w:val="en-US" w:eastAsia="zh-CN"/>
              </w:rPr>
              <w:t>120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hint="eastAsia" w:ascii="宋体" w:hAnsi="宋体" w:cs="宋体"/>
                <w:color w:val="000000"/>
                <w:kern w:val="0"/>
                <w:sz w:val="20"/>
                <w:szCs w:val="20"/>
              </w:rPr>
              <w:t>每年</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ascii="宋体" w:cs="宋体"/>
                <w:color w:val="000000"/>
                <w:kern w:val="0"/>
                <w:sz w:val="20"/>
                <w:szCs w:val="2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3</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textAlignment w:val="center"/>
              <w:rPr>
                <w:rFonts w:ascii="宋体" w:cs="宋体"/>
                <w:color w:val="000000"/>
                <w:sz w:val="20"/>
                <w:szCs w:val="20"/>
              </w:rPr>
            </w:pPr>
            <w:r>
              <w:rPr>
                <w:rFonts w:hint="eastAsia" w:ascii="宋体" w:hAnsi="宋体" w:cs="宋体"/>
                <w:color w:val="000000"/>
                <w:kern w:val="0"/>
                <w:sz w:val="20"/>
                <w:szCs w:val="20"/>
              </w:rPr>
              <w:t>对民办非企业单位的监督管理</w:t>
            </w:r>
          </w:p>
        </w:tc>
        <w:tc>
          <w:tcPr>
            <w:tcW w:w="502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宋体" w:cs="宋体"/>
                <w:color w:val="000000"/>
                <w:sz w:val="20"/>
                <w:szCs w:val="20"/>
              </w:rPr>
            </w:pPr>
            <w:r>
              <w:rPr>
                <w:rFonts w:ascii="宋体" w:hAnsi="宋体" w:cs="宋体"/>
                <w:color w:val="000000"/>
                <w:kern w:val="0"/>
                <w:sz w:val="24"/>
              </w:rPr>
              <w:t xml:space="preserve"> </w:t>
            </w:r>
            <w:r>
              <w:rPr>
                <w:rFonts w:ascii="宋体" w:hAnsi="宋体" w:cs="宋体"/>
                <w:color w:val="000000"/>
                <w:kern w:val="0"/>
                <w:sz w:val="20"/>
                <w:szCs w:val="20"/>
              </w:rPr>
              <w:t>1.</w:t>
            </w:r>
            <w:r>
              <w:rPr>
                <w:rFonts w:hint="eastAsia" w:ascii="宋体" w:hAnsi="宋体" w:cs="宋体"/>
                <w:color w:val="000000"/>
                <w:kern w:val="0"/>
                <w:sz w:val="20"/>
                <w:szCs w:val="20"/>
              </w:rPr>
              <w:t>《民办非企业单位登记管理暂行条例》（国务院令第</w:t>
            </w:r>
            <w:r>
              <w:rPr>
                <w:rFonts w:ascii="宋体" w:hAnsi="宋体" w:cs="宋体"/>
                <w:color w:val="000000"/>
                <w:kern w:val="0"/>
                <w:sz w:val="20"/>
                <w:szCs w:val="20"/>
              </w:rPr>
              <w:t>251</w:t>
            </w:r>
            <w:r>
              <w:rPr>
                <w:rFonts w:hint="eastAsia" w:ascii="宋体" w:hAnsi="宋体" w:cs="宋体"/>
                <w:color w:val="000000"/>
                <w:kern w:val="0"/>
                <w:sz w:val="20"/>
                <w:szCs w:val="20"/>
              </w:rPr>
              <w:t>号）</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第五条</w:t>
            </w:r>
            <w:r>
              <w:rPr>
                <w:rFonts w:ascii="宋体" w:hAnsi="宋体" w:cs="宋体"/>
                <w:color w:val="000000"/>
                <w:kern w:val="0"/>
                <w:sz w:val="24"/>
              </w:rPr>
              <w:t xml:space="preserve"> </w:t>
            </w:r>
            <w:r>
              <w:rPr>
                <w:rFonts w:hint="eastAsia" w:ascii="宋体" w:hAnsi="宋体" w:cs="宋体"/>
                <w:color w:val="000000"/>
                <w:kern w:val="0"/>
                <w:sz w:val="20"/>
                <w:szCs w:val="20"/>
              </w:rPr>
              <w:t>国务院民政部门和县级以上地方各级人民政府民政部门是本级人民政府的民办非企业单位登记管理机关（以下简称登记管理机关）。</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第十九条</w:t>
            </w:r>
            <w:r>
              <w:rPr>
                <w:rFonts w:ascii="宋体" w:hAnsi="宋体" w:cs="宋体"/>
                <w:color w:val="000000"/>
                <w:kern w:val="0"/>
                <w:sz w:val="24"/>
              </w:rPr>
              <w:t xml:space="preserve"> </w:t>
            </w:r>
            <w:r>
              <w:rPr>
                <w:rFonts w:hint="eastAsia" w:ascii="宋体" w:hAnsi="宋体" w:cs="宋体"/>
                <w:color w:val="000000"/>
                <w:kern w:val="0"/>
                <w:sz w:val="20"/>
                <w:szCs w:val="20"/>
              </w:rPr>
              <w:t>登记管理机关履行下列监督管理职责：</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（一）负责民办非企业单位的成立、变更、注销登记；</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（二）对民办非企业单位实施年度检查；</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（三）对民办非企业单位违反本条例的问题进行监督检查，对民办非企业单位违反本条例的行为给予行政处罚。</w:t>
            </w:r>
            <w:r>
              <w:rPr>
                <w:rFonts w:ascii="宋体" w:cs="宋体"/>
                <w:color w:val="000000"/>
                <w:kern w:val="0"/>
                <w:sz w:val="20"/>
                <w:szCs w:val="20"/>
              </w:rPr>
              <w:br w:type="textWrapping"/>
            </w:r>
            <w:r>
              <w:rPr>
                <w:rFonts w:ascii="宋体" w:hAnsi="宋体" w:cs="宋体"/>
                <w:color w:val="000000"/>
                <w:kern w:val="0"/>
                <w:sz w:val="24"/>
              </w:rPr>
              <w:t xml:space="preserve">    </w:t>
            </w:r>
            <w:r>
              <w:rPr>
                <w:rFonts w:ascii="宋体" w:hAnsi="宋体" w:cs="宋体"/>
                <w:color w:val="000000"/>
                <w:kern w:val="0"/>
                <w:sz w:val="20"/>
                <w:szCs w:val="20"/>
              </w:rPr>
              <w:t>2.</w:t>
            </w:r>
            <w:r>
              <w:rPr>
                <w:rFonts w:hint="eastAsia" w:ascii="宋体" w:hAnsi="宋体" w:cs="宋体"/>
                <w:color w:val="000000"/>
                <w:kern w:val="0"/>
                <w:sz w:val="20"/>
                <w:szCs w:val="20"/>
              </w:rPr>
              <w:t>《民办非企业单位名称管理暂行规定》（民发〔</w:t>
            </w:r>
            <w:r>
              <w:rPr>
                <w:rFonts w:ascii="宋体" w:hAnsi="宋体" w:cs="宋体"/>
                <w:color w:val="000000"/>
                <w:kern w:val="0"/>
                <w:sz w:val="20"/>
                <w:szCs w:val="20"/>
              </w:rPr>
              <w:t>1999</w:t>
            </w:r>
            <w:r>
              <w:rPr>
                <w:rFonts w:hint="eastAsia" w:ascii="宋体" w:hAnsi="宋体" w:cs="宋体"/>
                <w:color w:val="000000"/>
                <w:kern w:val="0"/>
                <w:sz w:val="20"/>
                <w:szCs w:val="20"/>
              </w:rPr>
              <w:t>〕</w:t>
            </w:r>
            <w:r>
              <w:rPr>
                <w:rFonts w:ascii="宋体" w:hAnsi="宋体" w:cs="宋体"/>
                <w:color w:val="000000"/>
                <w:kern w:val="0"/>
                <w:sz w:val="20"/>
                <w:szCs w:val="20"/>
              </w:rPr>
              <w:t>129</w:t>
            </w:r>
            <w:r>
              <w:rPr>
                <w:rFonts w:hint="eastAsia" w:ascii="宋体" w:hAnsi="宋体" w:cs="宋体"/>
                <w:color w:val="000000"/>
                <w:kern w:val="0"/>
                <w:sz w:val="20"/>
                <w:szCs w:val="20"/>
              </w:rPr>
              <w:t>号）</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第二条第一款：民办非企业单位登记管理机关负责民办非企业单位名称的核准登记，监督管理其名称的使用，保护其名称权。</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cs="宋体"/>
                <w:color w:val="000000"/>
                <w:sz w:val="20"/>
                <w:szCs w:val="20"/>
              </w:rPr>
            </w:pPr>
            <w:r>
              <w:rPr>
                <w:rFonts w:hint="eastAsia" w:ascii="宋体" w:hAnsi="宋体" w:cs="宋体"/>
                <w:color w:val="000000"/>
                <w:kern w:val="0"/>
                <w:sz w:val="20"/>
                <w:szCs w:val="20"/>
              </w:rPr>
              <w:t>对民办非企业单位成立、变更、注销的登记或者备案进行监督检查</w:t>
            </w:r>
            <w:r>
              <w:rPr>
                <w:rFonts w:ascii="宋体" w:hAnsi="宋体" w:cs="宋体"/>
                <w:color w:val="000000"/>
                <w:kern w:val="0"/>
                <w:sz w:val="20"/>
                <w:szCs w:val="20"/>
              </w:rPr>
              <w:t>;</w:t>
            </w:r>
            <w:r>
              <w:rPr>
                <w:rFonts w:hint="eastAsia" w:ascii="宋体" w:hAnsi="宋体" w:cs="宋体"/>
                <w:color w:val="000000"/>
                <w:kern w:val="0"/>
                <w:sz w:val="20"/>
                <w:szCs w:val="20"/>
                <w:lang w:val="en-US" w:eastAsia="zh-CN"/>
              </w:rPr>
              <w:t>县级</w:t>
            </w:r>
            <w:r>
              <w:rPr>
                <w:rFonts w:hint="eastAsia" w:ascii="宋体" w:hAnsi="宋体" w:cs="宋体"/>
                <w:color w:val="000000"/>
                <w:kern w:val="0"/>
                <w:sz w:val="20"/>
                <w:szCs w:val="20"/>
              </w:rPr>
              <w:t>民办非企业单位换届或者更换法定代表人之前的财务审计情况进行监督检查；实施年度检查，对</w:t>
            </w:r>
            <w:r>
              <w:rPr>
                <w:rFonts w:hint="eastAsia" w:ascii="宋体" w:hAnsi="宋体" w:cs="宋体"/>
                <w:color w:val="000000"/>
                <w:kern w:val="0"/>
                <w:sz w:val="20"/>
                <w:szCs w:val="20"/>
                <w:lang w:val="en-US" w:eastAsia="zh-CN"/>
              </w:rPr>
              <w:t>县级</w:t>
            </w:r>
            <w:r>
              <w:rPr>
                <w:rFonts w:hint="eastAsia" w:ascii="宋体" w:hAnsi="宋体" w:cs="宋体"/>
                <w:color w:val="000000"/>
                <w:kern w:val="0"/>
                <w:sz w:val="20"/>
                <w:szCs w:val="20"/>
              </w:rPr>
              <w:t>民办非企业单位违反《民办非企业单位登记管理暂行条例》的其他行为进行监督检查。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hint="eastAsia" w:ascii="宋体" w:hAnsi="宋体" w:cs="宋体"/>
                <w:color w:val="000000"/>
                <w:kern w:val="0"/>
                <w:sz w:val="20"/>
                <w:szCs w:val="20"/>
              </w:rPr>
              <w:t>县民政局</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hint="default" w:ascii="宋体" w:eastAsia="宋体" w:cs="宋体"/>
                <w:color w:val="000000"/>
                <w:sz w:val="20"/>
                <w:szCs w:val="20"/>
                <w:lang w:val="en-US" w:eastAsia="zh-CN"/>
              </w:rPr>
            </w:pPr>
            <w:r>
              <w:rPr>
                <w:rFonts w:hint="eastAsia" w:ascii="宋体" w:hAnsi="宋体" w:cs="宋体"/>
                <w:color w:val="000000"/>
                <w:sz w:val="20"/>
                <w:szCs w:val="20"/>
                <w:lang w:val="en-US" w:eastAsia="zh-CN"/>
              </w:rPr>
              <w:t>55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hint="eastAsia" w:ascii="宋体" w:hAnsi="宋体" w:cs="宋体"/>
                <w:color w:val="000000"/>
                <w:kern w:val="0"/>
                <w:sz w:val="20"/>
                <w:szCs w:val="20"/>
              </w:rPr>
              <w:t>每年</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ascii="宋体" w:cs="宋体"/>
                <w:color w:val="000000"/>
                <w:kern w:val="0"/>
                <w:sz w:val="20"/>
                <w:szCs w:val="2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4</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textAlignment w:val="center"/>
              <w:rPr>
                <w:rFonts w:ascii="宋体" w:cs="宋体"/>
                <w:color w:val="000000"/>
                <w:sz w:val="20"/>
                <w:szCs w:val="20"/>
              </w:rPr>
            </w:pPr>
            <w:r>
              <w:rPr>
                <w:rFonts w:hint="eastAsia" w:ascii="宋体" w:hAnsi="宋体" w:cs="宋体"/>
                <w:color w:val="000000"/>
                <w:kern w:val="0"/>
                <w:sz w:val="20"/>
                <w:szCs w:val="20"/>
              </w:rPr>
              <w:t>对养老机构的监督检查</w:t>
            </w:r>
          </w:p>
        </w:tc>
        <w:tc>
          <w:tcPr>
            <w:tcW w:w="502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宋体" w:cs="宋体"/>
                <w:color w:val="000000"/>
                <w:kern w:val="0"/>
                <w:sz w:val="24"/>
              </w:rPr>
            </w:pPr>
            <w:r>
              <w:rPr>
                <w:rFonts w:ascii="宋体" w:hAnsi="宋体" w:cs="宋体"/>
                <w:color w:val="000000"/>
                <w:kern w:val="0"/>
                <w:sz w:val="24"/>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right="0" w:firstLine="400" w:firstLineChars="200"/>
              <w:textAlignment w:val="auto"/>
              <w:rPr>
                <w:rFonts w:hint="eastAsia" w:ascii="宋体" w:hAnsi="宋体" w:eastAsia="宋体" w:cs="宋体"/>
                <w:color w:val="000000"/>
                <w:kern w:val="0"/>
                <w:sz w:val="20"/>
                <w:szCs w:val="20"/>
                <w:lang w:val="en-US" w:eastAsia="zh-CN" w:bidi="ar-SA"/>
              </w:rPr>
            </w:pPr>
            <w:r>
              <w:rPr>
                <w:rFonts w:ascii="宋体" w:hAnsi="宋体" w:cs="宋体"/>
                <w:color w:val="000000"/>
                <w:kern w:val="0"/>
                <w:sz w:val="20"/>
                <w:szCs w:val="20"/>
              </w:rPr>
              <w:t>1.</w:t>
            </w:r>
            <w:r>
              <w:rPr>
                <w:rFonts w:hint="eastAsia" w:ascii="宋体" w:hAnsi="宋体" w:cs="宋体"/>
                <w:color w:val="000000"/>
                <w:kern w:val="0"/>
                <w:sz w:val="20"/>
                <w:szCs w:val="20"/>
              </w:rPr>
              <w:t>《养老机构管理办法》（民政部令第</w:t>
            </w:r>
            <w:r>
              <w:rPr>
                <w:rFonts w:hint="eastAsia" w:ascii="宋体" w:hAnsi="宋体" w:cs="宋体"/>
                <w:color w:val="000000"/>
                <w:kern w:val="0"/>
                <w:sz w:val="20"/>
                <w:szCs w:val="20"/>
                <w:lang w:val="en-US" w:eastAsia="zh-CN"/>
              </w:rPr>
              <w:t>66</w:t>
            </w:r>
            <w:r>
              <w:rPr>
                <w:rFonts w:hint="eastAsia" w:ascii="宋体" w:hAnsi="宋体" w:cs="宋体"/>
                <w:color w:val="000000"/>
                <w:kern w:val="0"/>
                <w:sz w:val="20"/>
                <w:szCs w:val="20"/>
              </w:rPr>
              <w:t>号，</w:t>
            </w:r>
            <w:r>
              <w:rPr>
                <w:rFonts w:ascii="宋体" w:hAnsi="宋体" w:cs="宋体"/>
                <w:color w:val="000000"/>
                <w:kern w:val="0"/>
                <w:sz w:val="20"/>
                <w:szCs w:val="20"/>
              </w:rPr>
              <w:t>20</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11</w:t>
            </w:r>
            <w:r>
              <w:rPr>
                <w:rFonts w:hint="eastAsia" w:ascii="宋体" w:hAnsi="宋体" w:cs="宋体"/>
                <w:color w:val="000000"/>
                <w:kern w:val="0"/>
                <w:sz w:val="20"/>
                <w:szCs w:val="20"/>
              </w:rPr>
              <w:t>月</w:t>
            </w:r>
            <w:r>
              <w:rPr>
                <w:rFonts w:ascii="宋体" w:hAnsi="宋体" w:cs="宋体"/>
                <w:color w:val="000000"/>
                <w:kern w:val="0"/>
                <w:sz w:val="20"/>
                <w:szCs w:val="20"/>
              </w:rPr>
              <w:t>1</w:t>
            </w:r>
            <w:r>
              <w:rPr>
                <w:rFonts w:hint="eastAsia" w:ascii="宋体" w:hAnsi="宋体" w:cs="宋体"/>
                <w:color w:val="000000"/>
                <w:kern w:val="0"/>
                <w:sz w:val="20"/>
                <w:szCs w:val="20"/>
              </w:rPr>
              <w:t>日实施）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420"/>
              <w:jc w:val="left"/>
              <w:textAlignment w:val="auto"/>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lang w:val="en-US" w:eastAsia="zh-CN" w:bidi="ar-SA"/>
              </w:rPr>
              <w:t>第三十六条  民政部门应当加强对养老机构服务和运营的监督检</w:t>
            </w:r>
            <w:r>
              <w:rPr>
                <w:rFonts w:hint="eastAsia" w:ascii="宋体" w:hAnsi="宋体" w:cs="宋体"/>
                <w:color w:val="000000"/>
                <w:kern w:val="0"/>
                <w:sz w:val="20"/>
                <w:szCs w:val="20"/>
                <w:lang w:val="en-US" w:eastAsia="zh-CN"/>
              </w:rPr>
              <w:t>查，发现违反本办法规定的，及时依法予以处理并向社会公布。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42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民政部门在监督检查中发现养老机构存在应当由其他部门查处的违法违规行为的，及时通报有关部门处理。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420"/>
              <w:jc w:val="left"/>
              <w:textAlignment w:val="auto"/>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20" w:lineRule="auto"/>
              <w:ind w:left="0" w:right="0" w:firstLine="420"/>
              <w:jc w:val="left"/>
              <w:textAlignment w:val="auto"/>
              <w:rPr>
                <w:rFonts w:ascii="宋体" w:cs="宋体"/>
                <w:color w:val="000000"/>
                <w:sz w:val="20"/>
                <w:szCs w:val="20"/>
              </w:rPr>
            </w:pPr>
            <w:r>
              <w:rPr>
                <w:rFonts w:hint="eastAsia" w:ascii="宋体" w:hAnsi="宋体" w:cs="宋体"/>
                <w:color w:val="000000"/>
                <w:kern w:val="0"/>
                <w:sz w:val="20"/>
                <w:szCs w:val="20"/>
                <w:lang w:val="en-US" w:eastAsia="zh-CN"/>
              </w:rPr>
              <w:t>民政部门应当每年对养老机构服务安全和质量进行不少于一次的现场检查。</w:t>
            </w:r>
            <w:bookmarkStart w:id="0" w:name="_GoBack"/>
            <w:bookmarkEnd w:id="0"/>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numPr>
                <w:numId w:val="0"/>
              </w:numPr>
              <w:spacing w:line="240" w:lineRule="exact"/>
              <w:jc w:val="left"/>
              <w:textAlignment w:val="center"/>
              <w:rPr>
                <w:rFonts w:ascii="宋体" w:hAnsi="宋体" w:cs="宋体"/>
                <w:color w:val="000000"/>
                <w:kern w:val="0"/>
                <w:sz w:val="24"/>
              </w:rPr>
            </w:pP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抽查养老机构核实备案信息</w:t>
            </w:r>
            <w:r>
              <w:rPr>
                <w:rFonts w:hint="eastAsia" w:ascii="宋体" w:hAnsi="宋体" w:cs="宋体"/>
                <w:color w:val="000000"/>
                <w:kern w:val="0"/>
                <w:sz w:val="20"/>
                <w:szCs w:val="20"/>
                <w:lang w:val="en-US" w:eastAsia="zh-CN"/>
              </w:rPr>
              <w:t>.</w:t>
            </w:r>
          </w:p>
          <w:p>
            <w:pPr>
              <w:widowControl/>
              <w:spacing w:line="240" w:lineRule="exact"/>
              <w:jc w:val="left"/>
              <w:textAlignment w:val="center"/>
              <w:rPr>
                <w:rFonts w:ascii="宋体" w:cs="宋体"/>
                <w:color w:val="000000"/>
                <w:sz w:val="20"/>
                <w:szCs w:val="20"/>
              </w:rPr>
            </w:pPr>
            <w:r>
              <w:rPr>
                <w:rFonts w:hint="eastAsia" w:ascii="宋体" w:hAnsi="宋体" w:cs="宋体"/>
                <w:color w:val="000000"/>
                <w:kern w:val="0"/>
                <w:sz w:val="20"/>
                <w:szCs w:val="20"/>
                <w:lang w:val="en-US" w:eastAsia="zh-CN"/>
              </w:rPr>
              <w:t>2</w:t>
            </w:r>
            <w:r>
              <w:rPr>
                <w:rFonts w:ascii="宋体" w:hAnsi="宋体" w:cs="宋体"/>
                <w:color w:val="000000"/>
                <w:kern w:val="0"/>
                <w:sz w:val="20"/>
                <w:szCs w:val="20"/>
              </w:rPr>
              <w:t>.</w:t>
            </w:r>
            <w:r>
              <w:rPr>
                <w:rFonts w:hint="eastAsia" w:ascii="宋体" w:hAnsi="宋体" w:cs="宋体"/>
                <w:color w:val="000000"/>
                <w:kern w:val="0"/>
                <w:sz w:val="20"/>
                <w:szCs w:val="20"/>
              </w:rPr>
              <w:t>抽查养老机构是否依据《养老机构管理办法》开展运营。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hint="eastAsia" w:ascii="宋体" w:hAnsi="宋体" w:cs="宋体"/>
                <w:color w:val="000000"/>
                <w:sz w:val="20"/>
                <w:szCs w:val="20"/>
              </w:rPr>
              <w:t>县民政局</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cs="宋体"/>
                <w:color w:val="000000"/>
                <w:sz w:val="20"/>
                <w:szCs w:val="20"/>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100%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hint="eastAsia" w:ascii="宋体" w:hAnsi="宋体" w:cs="宋体"/>
                <w:color w:val="000000"/>
                <w:kern w:val="0"/>
                <w:sz w:val="20"/>
                <w:szCs w:val="20"/>
              </w:rPr>
              <w:t>每年</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left"/>
              <w:textAlignment w:val="center"/>
              <w:rPr>
                <w:rFonts w:ascii="宋体" w:cs="宋体"/>
                <w:color w:val="000000"/>
                <w:sz w:val="20"/>
                <w:szCs w:val="20"/>
              </w:rPr>
            </w:pPr>
            <w:r>
              <w:rPr>
                <w:rFonts w:ascii="宋体" w:cs="宋体"/>
                <w:color w:val="000000"/>
                <w:kern w:val="0"/>
                <w:sz w:val="20"/>
                <w:szCs w:val="2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05"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jc w:val="center"/>
              <w:textAlignment w:val="center"/>
              <w:rPr>
                <w:rFonts w:ascii="宋体" w:cs="宋体"/>
                <w:color w:val="000000"/>
                <w:sz w:val="20"/>
                <w:szCs w:val="20"/>
              </w:rPr>
            </w:pPr>
            <w:r>
              <w:rPr>
                <w:rFonts w:ascii="宋体" w:hAnsi="宋体" w:cs="宋体"/>
                <w:color w:val="000000"/>
                <w:kern w:val="0"/>
                <w:sz w:val="20"/>
                <w:szCs w:val="20"/>
              </w:rPr>
              <w:t>5</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3" w:lineRule="atLeast"/>
              <w:textAlignment w:val="center"/>
              <w:rPr>
                <w:rFonts w:ascii="宋体" w:cs="宋体"/>
                <w:color w:val="000000"/>
                <w:sz w:val="20"/>
                <w:szCs w:val="20"/>
              </w:rPr>
            </w:pPr>
            <w:r>
              <w:rPr>
                <w:rFonts w:hint="eastAsia" w:ascii="宋体" w:hAnsi="宋体" w:cs="宋体"/>
                <w:color w:val="000000"/>
                <w:kern w:val="0"/>
                <w:sz w:val="20"/>
                <w:szCs w:val="20"/>
              </w:rPr>
              <w:t>对公墓（不含农村公益性公墓）的监督检查</w:t>
            </w:r>
          </w:p>
        </w:tc>
        <w:tc>
          <w:tcPr>
            <w:tcW w:w="502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宋体" w:cs="宋体"/>
                <w:color w:val="000000"/>
                <w:sz w:val="20"/>
                <w:szCs w:val="20"/>
              </w:rPr>
            </w:pPr>
            <w:r>
              <w:rPr>
                <w:rFonts w:ascii="宋体" w:hAnsi="宋体" w:cs="宋体"/>
                <w:color w:val="000000"/>
                <w:kern w:val="0"/>
                <w:sz w:val="24"/>
              </w:rPr>
              <w:t xml:space="preserve">    </w:t>
            </w:r>
            <w:r>
              <w:rPr>
                <w:rFonts w:ascii="宋体" w:hAnsi="宋体" w:cs="宋体"/>
                <w:color w:val="000000"/>
                <w:kern w:val="0"/>
                <w:sz w:val="20"/>
                <w:szCs w:val="20"/>
              </w:rPr>
              <w:t>1.</w:t>
            </w:r>
            <w:r>
              <w:rPr>
                <w:rFonts w:hint="eastAsia" w:ascii="宋体" w:hAnsi="宋体" w:cs="宋体"/>
                <w:color w:val="000000"/>
                <w:kern w:val="0"/>
                <w:sz w:val="20"/>
                <w:szCs w:val="20"/>
              </w:rPr>
              <w:t>《殡葬管理条例》（国务院令第</w:t>
            </w:r>
            <w:r>
              <w:rPr>
                <w:rFonts w:ascii="宋体" w:hAnsi="宋体" w:cs="宋体"/>
                <w:color w:val="000000"/>
                <w:kern w:val="0"/>
                <w:sz w:val="24"/>
              </w:rPr>
              <w:t xml:space="preserve"> </w:t>
            </w:r>
            <w:r>
              <w:rPr>
                <w:rFonts w:ascii="宋体" w:hAnsi="宋体" w:cs="宋体"/>
                <w:color w:val="000000"/>
                <w:kern w:val="0"/>
                <w:sz w:val="20"/>
                <w:szCs w:val="20"/>
              </w:rPr>
              <w:t>225</w:t>
            </w:r>
            <w:r>
              <w:rPr>
                <w:rFonts w:ascii="宋体" w:hAnsi="宋体" w:cs="宋体"/>
                <w:color w:val="000000"/>
                <w:kern w:val="0"/>
                <w:sz w:val="24"/>
              </w:rPr>
              <w:t xml:space="preserve"> </w:t>
            </w:r>
            <w:r>
              <w:rPr>
                <w:rFonts w:hint="eastAsia" w:ascii="宋体" w:hAnsi="宋体" w:cs="宋体"/>
                <w:color w:val="000000"/>
                <w:kern w:val="0"/>
                <w:sz w:val="20"/>
                <w:szCs w:val="20"/>
              </w:rPr>
              <w:t>号）</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第八条</w:t>
            </w:r>
            <w:r>
              <w:rPr>
                <w:rFonts w:ascii="宋体" w:hAnsi="宋体" w:cs="宋体"/>
                <w:color w:val="000000"/>
                <w:kern w:val="0"/>
                <w:sz w:val="24"/>
              </w:rPr>
              <w:t xml:space="preserve"> </w:t>
            </w:r>
            <w:r>
              <w:rPr>
                <w:rFonts w:hint="eastAsia" w:ascii="宋体" w:hAnsi="宋体" w:cs="宋体"/>
                <w:color w:val="000000"/>
                <w:kern w:val="0"/>
                <w:sz w:val="20"/>
                <w:szCs w:val="20"/>
              </w:rPr>
              <w:t>建设殡仪馆、火葬场，由县级人民政府和设区的市、自治州人民政府的民政部门提出方案，报本级人民政府审批，建设殡服务站、骨灰堂、由县级人民政府和设区的市、自治州人民政府的民政部门审批；建设公墓，经县级人民政府和设区的市、自治州人民政府的民政部门审核同意后，报省、自治区、直辖市人民政府民政部门审批。</w:t>
            </w:r>
            <w:r>
              <w:rPr>
                <w:rFonts w:ascii="宋体" w:cs="宋体"/>
                <w:color w:val="000000"/>
                <w:kern w:val="0"/>
                <w:sz w:val="20"/>
                <w:szCs w:val="20"/>
              </w:rPr>
              <w:br w:type="textWrapping"/>
            </w:r>
            <w:r>
              <w:rPr>
                <w:rFonts w:ascii="宋体" w:hAnsi="宋体" w:cs="宋体"/>
                <w:color w:val="000000"/>
                <w:kern w:val="0"/>
                <w:sz w:val="24"/>
              </w:rPr>
              <w:t xml:space="preserve">    </w:t>
            </w:r>
            <w:r>
              <w:rPr>
                <w:rFonts w:ascii="宋体" w:hAnsi="宋体" w:cs="宋体"/>
                <w:color w:val="000000"/>
                <w:kern w:val="0"/>
                <w:sz w:val="20"/>
                <w:szCs w:val="20"/>
              </w:rPr>
              <w:t>2.</w:t>
            </w:r>
            <w:r>
              <w:rPr>
                <w:rFonts w:hint="eastAsia" w:ascii="宋体" w:hAnsi="宋体" w:cs="宋体"/>
                <w:color w:val="000000"/>
                <w:kern w:val="0"/>
                <w:sz w:val="20"/>
                <w:szCs w:val="20"/>
              </w:rPr>
              <w:t>《行政许可法》</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第六十一条行政机关应当建立健全监督制度，通过核查反映被许可人从事行政许可事项活动情况的有关材料，履行监督责任。</w:t>
            </w:r>
            <w:r>
              <w:rPr>
                <w:rFonts w:ascii="宋体" w:cs="宋体"/>
                <w:color w:val="000000"/>
                <w:kern w:val="0"/>
                <w:sz w:val="20"/>
                <w:szCs w:val="20"/>
              </w:rPr>
              <w:br w:type="textWrapping"/>
            </w:r>
            <w:r>
              <w:rPr>
                <w:rFonts w:ascii="宋体" w:hAnsi="宋体" w:cs="宋体"/>
                <w:color w:val="000000"/>
                <w:kern w:val="0"/>
                <w:sz w:val="24"/>
              </w:rPr>
              <w:t xml:space="preserve">    </w:t>
            </w:r>
            <w:r>
              <w:rPr>
                <w:rFonts w:hint="eastAsia" w:ascii="宋体" w:hAnsi="宋体" w:cs="宋体"/>
                <w:color w:val="000000"/>
                <w:kern w:val="0"/>
                <w:sz w:val="20"/>
                <w:szCs w:val="20"/>
              </w:rPr>
              <w:t>行政机关依法对被许可人从事行政许可事项的活动进行监督检查时，应当将监督检查的情况和处理结果予以记录，由监督检查人员签字后归档。公众有权查阅行政机关监督检查记录。</w:t>
            </w:r>
          </w:p>
        </w:tc>
        <w:tc>
          <w:tcPr>
            <w:tcW w:w="2175" w:type="dxa"/>
            <w:tcBorders>
              <w:top w:val="single" w:color="000000" w:sz="6" w:space="0"/>
              <w:left w:val="single" w:color="000000" w:sz="6" w:space="0"/>
              <w:bottom w:val="single" w:color="000000" w:sz="6" w:space="0"/>
              <w:right w:val="single" w:color="000000" w:sz="6" w:space="0"/>
            </w:tcBorders>
            <w:vAlign w:val="center"/>
          </w:tcPr>
          <w:p>
            <w:pPr>
              <w:spacing w:line="240" w:lineRule="exact"/>
              <w:rPr>
                <w:rFonts w:ascii="微软雅黑" w:hAnsi="微软雅黑" w:eastAsia="微软雅黑" w:cs="微软雅黑"/>
                <w:color w:val="333333"/>
                <w:szCs w:val="21"/>
              </w:rPr>
            </w:pPr>
            <w:r>
              <w:rPr>
                <w:rFonts w:hint="eastAsia" w:ascii="微软雅黑" w:hAnsi="微软雅黑" w:eastAsia="微软雅黑" w:cs="微软雅黑"/>
                <w:color w:val="000000"/>
                <w:sz w:val="20"/>
                <w:szCs w:val="20"/>
              </w:rPr>
              <w:t>抽查市内公墓（不含农村公益性公墓）是否手续齐全、合法审批；对日常经营行为中的墓穴面积、墓区规划、墓区绿化管理费用收取使用、节地生态葬法推广进行监督。</w:t>
            </w:r>
          </w:p>
        </w:tc>
        <w:tc>
          <w:tcPr>
            <w:tcW w:w="1080" w:type="dxa"/>
            <w:tcBorders>
              <w:top w:val="single" w:color="000000" w:sz="6" w:space="0"/>
              <w:left w:val="single" w:color="000000" w:sz="6" w:space="0"/>
              <w:bottom w:val="single" w:color="000000" w:sz="6" w:space="0"/>
              <w:right w:val="single" w:color="000000" w:sz="6" w:space="0"/>
            </w:tcBorders>
            <w:vAlign w:val="center"/>
          </w:tcPr>
          <w:p>
            <w:pPr>
              <w:rPr>
                <w:rFonts w:ascii="微软雅黑" w:hAnsi="微软雅黑" w:eastAsia="微软雅黑" w:cs="微软雅黑"/>
                <w:color w:val="333333"/>
                <w:szCs w:val="21"/>
              </w:rPr>
            </w:pPr>
            <w:r>
              <w:rPr>
                <w:rFonts w:hint="eastAsia" w:ascii="微软雅黑" w:hAnsi="微软雅黑" w:eastAsia="微软雅黑" w:cs="微软雅黑"/>
                <w:color w:val="333333"/>
                <w:szCs w:val="21"/>
              </w:rPr>
              <w:t>县民政局</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center"/>
              <w:rPr>
                <w:rFonts w:ascii="微软雅黑" w:hAnsi="微软雅黑" w:eastAsia="微软雅黑" w:cs="微软雅黑"/>
                <w:color w:val="333333"/>
                <w:szCs w:val="21"/>
              </w:rPr>
            </w:pPr>
            <w:r>
              <w:rPr>
                <w:rFonts w:ascii="微软雅黑" w:hAnsi="微软雅黑" w:eastAsia="微软雅黑" w:cs="微软雅黑"/>
                <w:color w:val="333333"/>
                <w:szCs w:val="21"/>
              </w:rPr>
              <w:t>1</w:t>
            </w:r>
          </w:p>
        </w:tc>
        <w:tc>
          <w:tcPr>
            <w:tcW w:w="108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微软雅黑"/>
                <w:color w:val="333333"/>
                <w:szCs w:val="21"/>
              </w:rPr>
            </w:pPr>
            <w:r>
              <w:rPr>
                <w:rFonts w:ascii="宋体" w:hAnsi="宋体" w:cs="微软雅黑"/>
                <w:color w:val="333333"/>
                <w:szCs w:val="21"/>
              </w:rPr>
              <w:t>10</w:t>
            </w:r>
            <w:r>
              <w:rPr>
                <w:rFonts w:hint="eastAsia" w:ascii="宋体" w:hAnsi="宋体" w:cs="微软雅黑"/>
                <w:color w:val="333333"/>
                <w:szCs w:val="21"/>
                <w:lang w:val="en-US" w:eastAsia="zh-CN"/>
              </w:rPr>
              <w:t>0</w:t>
            </w:r>
            <w:r>
              <w:rPr>
                <w:rFonts w:ascii="宋体" w:hAnsi="宋体" w:cs="微软雅黑"/>
                <w:color w:val="333333"/>
                <w:szCs w:val="21"/>
              </w:rPr>
              <w:t>%</w:t>
            </w:r>
          </w:p>
        </w:tc>
        <w:tc>
          <w:tcPr>
            <w:tcW w:w="720" w:type="dxa"/>
            <w:tcBorders>
              <w:top w:val="single" w:color="000000" w:sz="6" w:space="0"/>
              <w:left w:val="single" w:color="000000" w:sz="6" w:space="0"/>
              <w:bottom w:val="single" w:color="000000" w:sz="6" w:space="0"/>
              <w:right w:val="single" w:color="000000" w:sz="6" w:space="0"/>
            </w:tcBorders>
            <w:vAlign w:val="center"/>
          </w:tcPr>
          <w:p>
            <w:pPr>
              <w:rPr>
                <w:rFonts w:ascii="微软雅黑" w:hAnsi="微软雅黑" w:eastAsia="微软雅黑" w:cs="微软雅黑"/>
                <w:color w:val="333333"/>
                <w:szCs w:val="21"/>
              </w:rPr>
            </w:pPr>
            <w:r>
              <w:rPr>
                <w:rFonts w:hint="eastAsia" w:ascii="微软雅黑" w:hAnsi="微软雅黑" w:eastAsia="微软雅黑" w:cs="微软雅黑"/>
                <w:color w:val="333333"/>
                <w:szCs w:val="21"/>
              </w:rPr>
              <w:t>每年</w:t>
            </w:r>
            <w:r>
              <w:rPr>
                <w:rFonts w:ascii="微软雅黑" w:hAnsi="微软雅黑" w:eastAsia="微软雅黑" w:cs="微软雅黑"/>
                <w:color w:val="333333"/>
                <w:szCs w:val="21"/>
              </w:rPr>
              <w:t>1</w:t>
            </w:r>
            <w:r>
              <w:rPr>
                <w:rFonts w:hint="eastAsia" w:ascii="微软雅黑" w:hAnsi="微软雅黑" w:eastAsia="微软雅黑" w:cs="微软雅黑"/>
                <w:color w:val="333333"/>
                <w:szCs w:val="21"/>
              </w:rPr>
              <w:t>次</w:t>
            </w:r>
          </w:p>
        </w:tc>
        <w:tc>
          <w:tcPr>
            <w:tcW w:w="1080" w:type="dxa"/>
            <w:tcBorders>
              <w:top w:val="single" w:color="000000" w:sz="6" w:space="0"/>
              <w:left w:val="single" w:color="000000" w:sz="6" w:space="0"/>
              <w:bottom w:val="single" w:color="000000" w:sz="6" w:space="0"/>
            </w:tcBorders>
            <w:vAlign w:val="center"/>
          </w:tcPr>
          <w:p>
            <w:pPr>
              <w:rPr>
                <w:rFonts w:ascii="微软雅黑" w:hAnsi="微软雅黑" w:eastAsia="微软雅黑" w:cs="微软雅黑"/>
                <w:color w:val="333333"/>
                <w:szCs w:val="21"/>
              </w:rPr>
            </w:pPr>
          </w:p>
        </w:tc>
      </w:tr>
    </w:tbl>
    <w:p>
      <w:pPr>
        <w:spacing w:line="580" w:lineRule="exac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1.</w:t>
      </w:r>
      <w:r>
        <w:rPr>
          <w:rFonts w:hint="eastAsia" w:ascii="仿宋_GB2312" w:eastAsia="仿宋_GB2312"/>
          <w:sz w:val="32"/>
          <w:szCs w:val="32"/>
        </w:rPr>
        <w:t>“抽查主体”填写承担抽查工作的部门内设机构或责任单位；</w:t>
      </w:r>
    </w:p>
    <w:p>
      <w:pPr>
        <w:spacing w:line="580" w:lineRule="exact"/>
        <w:ind w:firstLine="960" w:firstLineChars="3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“抽查对象”“抽查比例”“抽查频次”由各部门根据实际情况填写。</w:t>
      </w:r>
    </w:p>
    <w:sectPr>
      <w:pgSz w:w="16838" w:h="11906" w:orient="landscape"/>
      <w:pgMar w:top="1531" w:right="1701" w:bottom="1531" w:left="170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5BC06D5"/>
    <w:rsid w:val="000B6DF5"/>
    <w:rsid w:val="00182448"/>
    <w:rsid w:val="0088738B"/>
    <w:rsid w:val="00985F29"/>
    <w:rsid w:val="00A133E0"/>
    <w:rsid w:val="00D33BDE"/>
    <w:rsid w:val="1045545E"/>
    <w:rsid w:val="11F25CD3"/>
    <w:rsid w:val="14382703"/>
    <w:rsid w:val="243B7479"/>
    <w:rsid w:val="34BF061C"/>
    <w:rsid w:val="65BC06D5"/>
    <w:rsid w:val="732177B7"/>
    <w:rsid w:val="74E160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99"/>
    <w:rPr>
      <w:rFonts w:cs="Times New Roman"/>
      <w:color w:val="333333"/>
      <w:u w:val="none"/>
    </w:rPr>
  </w:style>
  <w:style w:type="character" w:styleId="8">
    <w:name w:val="Emphasis"/>
    <w:basedOn w:val="6"/>
    <w:qFormat/>
    <w:uiPriority w:val="99"/>
    <w:rPr>
      <w:rFonts w:cs="Times New Roman"/>
    </w:rPr>
  </w:style>
  <w:style w:type="character" w:styleId="9">
    <w:name w:val="Hyperlink"/>
    <w:basedOn w:val="6"/>
    <w:qFormat/>
    <w:uiPriority w:val="99"/>
    <w:rPr>
      <w:rFonts w:cs="Times New Roman"/>
      <w:color w:val="333333"/>
      <w:u w:val="none"/>
    </w:rPr>
  </w:style>
  <w:style w:type="character" w:customStyle="1" w:styleId="10">
    <w:name w:val="Footer Char"/>
    <w:basedOn w:val="6"/>
    <w:link w:val="2"/>
    <w:semiHidden/>
    <w:qFormat/>
    <w:uiPriority w:val="99"/>
    <w:rPr>
      <w:rFonts w:ascii="Calibri" w:hAnsi="Calibri"/>
      <w:sz w:val="18"/>
      <w:szCs w:val="18"/>
    </w:rPr>
  </w:style>
  <w:style w:type="character" w:customStyle="1" w:styleId="11">
    <w:name w:val="Header Char"/>
    <w:basedOn w:val="6"/>
    <w:link w:val="3"/>
    <w:semiHidden/>
    <w:qFormat/>
    <w:uiPriority w:val="99"/>
    <w:rPr>
      <w:rFonts w:ascii="Calibri" w:hAnsi="Calibri"/>
      <w:sz w:val="18"/>
      <w:szCs w:val="18"/>
    </w:rPr>
  </w:style>
  <w:style w:type="character" w:customStyle="1" w:styleId="12">
    <w:name w:val="gl_news_sz2"/>
    <w:basedOn w:val="6"/>
    <w:qFormat/>
    <w:uiPriority w:val="99"/>
    <w:rPr>
      <w:rFonts w:cs="Times New Roman"/>
      <w:color w:val="FFFFFF"/>
      <w:shd w:val="clear" w:color="auto" w:fill="A32A2A"/>
    </w:rPr>
  </w:style>
  <w:style w:type="character" w:customStyle="1" w:styleId="13">
    <w:name w:val="sjx"/>
    <w:basedOn w:val="6"/>
    <w:qFormat/>
    <w:uiPriority w:val="99"/>
    <w:rPr>
      <w:rFonts w:cs="Times New Roman"/>
    </w:rPr>
  </w:style>
  <w:style w:type="character" w:customStyle="1" w:styleId="14">
    <w:name w:val="icon024"/>
    <w:basedOn w:val="6"/>
    <w:qFormat/>
    <w:uiPriority w:val="99"/>
    <w:rPr>
      <w:rFonts w:cs="Times New Roman"/>
      <w:sz w:val="18"/>
      <w:szCs w:val="18"/>
    </w:rPr>
  </w:style>
  <w:style w:type="character" w:customStyle="1" w:styleId="15">
    <w:name w:val="icon014"/>
    <w:basedOn w:val="6"/>
    <w:qFormat/>
    <w:uiPriority w:val="99"/>
    <w:rPr>
      <w:rFonts w:cs="Times New Roman"/>
      <w:sz w:val="18"/>
      <w:szCs w:val="18"/>
    </w:rPr>
  </w:style>
  <w:style w:type="character" w:customStyle="1" w:styleId="16">
    <w:name w:val="time"/>
    <w:basedOn w:val="6"/>
    <w:qFormat/>
    <w:uiPriority w:val="99"/>
    <w:rPr>
      <w:rFonts w:cs="Times New Roman"/>
    </w:rPr>
  </w:style>
  <w:style w:type="character" w:customStyle="1" w:styleId="17">
    <w:name w:val="gl_news_sz"/>
    <w:basedOn w:val="6"/>
    <w:qFormat/>
    <w:uiPriority w:val="99"/>
    <w:rPr>
      <w:rFonts w:cs="Times New Roman"/>
      <w:color w:val="FFFFFF"/>
      <w:shd w:val="clear" w:color="auto" w:fill="A32A2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342</Words>
  <Characters>1953</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2017-11-30T07:53:00Z</dcterms:created>
  <dc:creator>loeve</dc:creator>
  <cp:lastModifiedBy>admin</cp:lastModifiedBy>
  <dcterms:modified xsi:type="dcterms:W3CDTF">2025-06-24T07:21:42Z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