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0035">
      <w:pPr>
        <w:spacing w:after="0"/>
        <w:jc w:val="center"/>
        <w:rPr>
          <w:rFonts w:hint="eastAsia" w:ascii="宋体" w:hAnsi="宋体" w:eastAsia="宋体" w:cs="黑体"/>
          <w:b/>
          <w:color w:val="000000"/>
          <w:sz w:val="48"/>
          <w:szCs w:val="48"/>
        </w:rPr>
      </w:pPr>
      <w:r>
        <w:rPr>
          <w:rFonts w:hint="eastAsia" w:ascii="宋体" w:hAnsi="宋体" w:eastAsia="宋体" w:cs="黑体"/>
          <w:b/>
          <w:color w:val="000000"/>
          <w:sz w:val="48"/>
          <w:szCs w:val="48"/>
        </w:rPr>
        <w:t>福州市海洋与渔业执法支队</w:t>
      </w:r>
    </w:p>
    <w:p w14:paraId="312035AA">
      <w:pPr>
        <w:shd w:val="clear" w:color="auto" w:fill="FFFFFF"/>
        <w:spacing w:after="0"/>
        <w:jc w:val="center"/>
        <w:textAlignment w:val="baseline"/>
        <w:outlineLvl w:val="0"/>
        <w:rPr>
          <w:rFonts w:hint="eastAsia" w:ascii="宋体" w:hAnsi="宋体" w:eastAsia="宋体"/>
          <w:b/>
          <w:color w:val="000000"/>
          <w:kern w:val="2"/>
          <w:sz w:val="48"/>
          <w:szCs w:val="48"/>
        </w:rPr>
      </w:pPr>
      <w:r>
        <w:rPr>
          <w:rFonts w:hint="eastAsia" w:ascii="宋体" w:hAnsi="宋体" w:eastAsia="宋体"/>
          <w:b/>
          <w:color w:val="000000"/>
          <w:kern w:val="2"/>
          <w:sz w:val="48"/>
          <w:szCs w:val="48"/>
        </w:rPr>
        <w:t>行政处罚决定书</w:t>
      </w:r>
    </w:p>
    <w:p w14:paraId="141C2A5D">
      <w:pPr>
        <w:widowControl w:val="0"/>
        <w:adjustRightInd/>
        <w:spacing w:after="0" w:line="460" w:lineRule="exact"/>
        <w:jc w:val="center"/>
        <w:rPr>
          <w:rFonts w:hint="eastAsia" w:ascii="仿宋" w:hAnsi="仿宋" w:eastAsia="仿宋"/>
          <w:b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2"/>
          <w:sz w:val="32"/>
          <w:szCs w:val="32"/>
        </w:rPr>
        <w:t>闽榕渔罚</w:t>
      </w:r>
      <w:r>
        <w:rPr>
          <w:rFonts w:hint="eastAsia" w:ascii="仿宋" w:hAnsi="仿宋" w:eastAsia="仿宋" w:cs="宋体-18030"/>
          <w:b/>
          <w:color w:val="000000"/>
          <w:kern w:val="2"/>
          <w:sz w:val="32"/>
          <w:szCs w:val="32"/>
        </w:rPr>
        <w:t>〔2024〕6－12</w:t>
      </w:r>
      <w:r>
        <w:rPr>
          <w:rFonts w:hint="eastAsia" w:ascii="仿宋" w:hAnsi="仿宋" w:eastAsia="仿宋"/>
          <w:b/>
          <w:color w:val="000000"/>
          <w:kern w:val="2"/>
          <w:sz w:val="32"/>
          <w:szCs w:val="32"/>
        </w:rPr>
        <w:t>号</w:t>
      </w:r>
    </w:p>
    <w:p w14:paraId="26900CCA">
      <w:pPr>
        <w:widowControl w:val="0"/>
        <w:adjustRightInd/>
        <w:spacing w:after="0" w:line="200" w:lineRule="exact"/>
        <w:jc w:val="right"/>
        <w:rPr>
          <w:rFonts w:hint="eastAsia" w:ascii="仿宋" w:hAnsi="仿宋" w:eastAsia="仿宋"/>
          <w:color w:val="000000"/>
          <w:kern w:val="2"/>
          <w:sz w:val="28"/>
          <w:szCs w:val="28"/>
        </w:rPr>
      </w:pPr>
    </w:p>
    <w:p w14:paraId="701A86C0">
      <w:pPr>
        <w:widowControl w:val="0"/>
        <w:adjustRightInd/>
        <w:spacing w:after="0" w:line="440" w:lineRule="exact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 xml:space="preserve">  当事人（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沈*丰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，男，汉族，19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日出生，身份证号码：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33028319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********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，涉案船舶船长，住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浙江省奉化市莼湖镇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村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，联系电话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158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******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32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）：</w:t>
      </w:r>
    </w:p>
    <w:p w14:paraId="3A80AEB0">
      <w:pPr>
        <w:spacing w:after="0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1099185</wp:posOffset>
                </wp:positionV>
                <wp:extent cx="381000" cy="1885950"/>
                <wp:effectExtent l="0" t="0" r="0" b="0"/>
                <wp:wrapNone/>
                <wp:docPr id="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99E448">
                            <w:pPr>
                              <w:widowControl w:val="0"/>
                              <w:adjustRightInd/>
                              <w:snapToGrid/>
                              <w:spacing w:after="0"/>
                              <w:jc w:val="both"/>
                              <w:rPr>
                                <w:rFonts w:hint="eastAsia" w:ascii="仿宋" w:hAnsi="仿宋" w:eastAsia="仿宋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kern w:val="2"/>
                                <w:sz w:val="24"/>
                                <w:szCs w:val="24"/>
                              </w:rPr>
                              <w:t>第二联</w:t>
                            </w:r>
                          </w:p>
                          <w:p w14:paraId="73EE1E55">
                            <w:pPr>
                              <w:widowControl w:val="0"/>
                              <w:adjustRightInd/>
                              <w:snapToGrid/>
                              <w:spacing w:after="0"/>
                              <w:jc w:val="both"/>
                              <w:rPr>
                                <w:rFonts w:hint="eastAsia" w:ascii="仿宋" w:hAnsi="仿宋" w:eastAsia="仿宋"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  <w:p w14:paraId="06E8673F">
                            <w:pPr>
                              <w:widowControl w:val="0"/>
                              <w:adjustRightInd/>
                              <w:snapToGrid/>
                              <w:spacing w:after="0"/>
                              <w:jc w:val="both"/>
                              <w:rPr>
                                <w:rFonts w:hint="eastAsia" w:ascii="仿宋" w:hAnsi="仿宋" w:eastAsia="仿宋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kern w:val="2"/>
                                <w:sz w:val="24"/>
                                <w:szCs w:val="24"/>
                              </w:rPr>
                              <w:t>存</w:t>
                            </w:r>
                          </w:p>
                          <w:p w14:paraId="2AC665F7">
                            <w:pPr>
                              <w:widowControl w:val="0"/>
                              <w:adjustRightInd/>
                              <w:snapToGrid/>
                              <w:spacing w:after="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4801CCB4">
                            <w:pPr>
                              <w:widowControl w:val="0"/>
                              <w:adjustRightInd/>
                              <w:snapToGrid/>
                              <w:spacing w:after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46.7pt;margin-top:86.55pt;height:148.5pt;width:30pt;z-index:251659264;mso-width-relative:page;mso-height-relative:page;" fillcolor="#FFFFFF" filled="t" stroked="f" coordsize="21600,21600" o:gfxdata="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tdNo9gAAAALAQAADwAAAAAAAAABACAAAAAiAAAAZHJz&#10;L2Rvd25yZXYueG1sUEsBAhQAFAAAAAgAh07iQMcUFUXLAQAAhgMAAA4AAAAAAAAAAQAgAAAAJwEA&#10;AGRycy9lMm9Eb2MueG1sUEsFBgAAAAAGAAYAWQEAAG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999E448">
                      <w:pPr>
                        <w:widowControl w:val="0"/>
                        <w:adjustRightInd/>
                        <w:snapToGrid/>
                        <w:spacing w:after="0"/>
                        <w:jc w:val="both"/>
                        <w:rPr>
                          <w:rFonts w:hint="eastAsia" w:ascii="仿宋" w:hAnsi="仿宋" w:eastAsia="仿宋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kern w:val="2"/>
                          <w:sz w:val="24"/>
                          <w:szCs w:val="24"/>
                        </w:rPr>
                        <w:t>第二联</w:t>
                      </w:r>
                    </w:p>
                    <w:p w14:paraId="73EE1E55">
                      <w:pPr>
                        <w:widowControl w:val="0"/>
                        <w:adjustRightInd/>
                        <w:snapToGrid/>
                        <w:spacing w:after="0"/>
                        <w:jc w:val="both"/>
                        <w:rPr>
                          <w:rFonts w:hint="eastAsia" w:ascii="仿宋" w:hAnsi="仿宋" w:eastAsia="仿宋"/>
                          <w:kern w:val="2"/>
                          <w:sz w:val="24"/>
                          <w:szCs w:val="24"/>
                        </w:rPr>
                      </w:pPr>
                    </w:p>
                    <w:p w14:paraId="06E8673F">
                      <w:pPr>
                        <w:widowControl w:val="0"/>
                        <w:adjustRightInd/>
                        <w:snapToGrid/>
                        <w:spacing w:after="0"/>
                        <w:jc w:val="both"/>
                        <w:rPr>
                          <w:rFonts w:hint="eastAsia" w:ascii="仿宋" w:hAnsi="仿宋" w:eastAsia="仿宋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kern w:val="2"/>
                          <w:sz w:val="24"/>
                          <w:szCs w:val="24"/>
                        </w:rPr>
                        <w:t>存</w:t>
                      </w:r>
                    </w:p>
                    <w:p w14:paraId="2AC665F7">
                      <w:pPr>
                        <w:widowControl w:val="0"/>
                        <w:adjustRightInd/>
                        <w:snapToGrid/>
                        <w:spacing w:after="0"/>
                        <w:jc w:val="both"/>
                        <w:rPr>
                          <w:rFonts w:hint="eastAsia"/>
                        </w:rPr>
                      </w:pPr>
                    </w:p>
                    <w:p w14:paraId="4801CCB4">
                      <w:pPr>
                        <w:widowControl w:val="0"/>
                        <w:adjustRightInd/>
                        <w:snapToGrid/>
                        <w:spacing w:after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你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未按规定履行船长职责和未按规定办理渔业船舶进出港报告手续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一案，经本机关依法调查，现查明：</w:t>
      </w:r>
      <w:r>
        <w:rPr>
          <w:rFonts w:hint="eastAsia" w:ascii="仿宋" w:hAnsi="仿宋" w:eastAsia="仿宋" w:cs="仿宋"/>
          <w:sz w:val="28"/>
          <w:szCs w:val="28"/>
        </w:rPr>
        <w:t>2024年8月19日，本机关执法人员在</w:t>
      </w:r>
      <w:r>
        <w:rPr>
          <w:rFonts w:hint="eastAsia" w:ascii="仿宋" w:hAnsi="仿宋" w:eastAsia="仿宋" w:cs="仿宋_GB2312"/>
          <w:sz w:val="28"/>
          <w:szCs w:val="28"/>
        </w:rPr>
        <w:t>黄岐附近海域</w:t>
      </w:r>
      <w:r>
        <w:rPr>
          <w:rFonts w:hint="eastAsia" w:ascii="仿宋" w:hAnsi="仿宋" w:eastAsia="仿宋" w:cs="仿宋"/>
          <w:sz w:val="28"/>
          <w:szCs w:val="28"/>
        </w:rPr>
        <w:t>执法巡查时，发现一艘船首刷写“闽连渔63875”钢质渔船正在该海域航行。当日，本机关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执法人员依法对该船进行现场检查，拍照、录像取证，制作了《现场检查笔录》1份。</w:t>
      </w:r>
      <w:r>
        <w:rPr>
          <w:rFonts w:hint="eastAsia" w:ascii="仿宋" w:hAnsi="仿宋" w:eastAsia="仿宋" w:cs="仿宋_GB2312"/>
          <w:sz w:val="28"/>
          <w:szCs w:val="28"/>
        </w:rPr>
        <w:t>2024年8月21日，执法人员依法对船上人员船长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沈*丰</w:t>
      </w:r>
      <w:r>
        <w:rPr>
          <w:rFonts w:hint="eastAsia" w:ascii="仿宋" w:hAnsi="仿宋" w:eastAsia="仿宋" w:cs="仿宋_GB2312"/>
          <w:sz w:val="28"/>
          <w:szCs w:val="28"/>
        </w:rPr>
        <w:t>，对船舶所有单位法人刘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_GB2312"/>
          <w:sz w:val="28"/>
          <w:szCs w:val="28"/>
        </w:rPr>
        <w:t>清作询问笔录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，制作了相应的《询问笔录》各1份，你</w:t>
      </w:r>
      <w:r>
        <w:rPr>
          <w:rFonts w:hint="eastAsia" w:ascii="仿宋" w:hAnsi="仿宋" w:eastAsia="仿宋" w:cs="仿宋"/>
          <w:sz w:val="28"/>
          <w:szCs w:val="28"/>
        </w:rPr>
        <w:t>作为“闽连渔63875”的船长，于2024年8月19日，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驾驶“</w:t>
      </w:r>
      <w:r>
        <w:rPr>
          <w:rFonts w:hint="eastAsia" w:ascii="仿宋" w:hAnsi="仿宋" w:eastAsia="仿宋" w:cs="仿宋"/>
          <w:sz w:val="28"/>
          <w:szCs w:val="28"/>
        </w:rPr>
        <w:t>闽连渔63875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”船</w:t>
      </w:r>
      <w:r>
        <w:rPr>
          <w:rFonts w:hint="eastAsia" w:ascii="仿宋" w:hAnsi="仿宋" w:eastAsia="仿宋" w:cs="仿宋_GB2312"/>
          <w:sz w:val="28"/>
          <w:szCs w:val="28"/>
        </w:rPr>
        <w:t>从黄岐中心渔港出发，到闽东渔场。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船上有8个人员，船长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沈*丰</w:t>
      </w:r>
      <w:r>
        <w:rPr>
          <w:rFonts w:hint="eastAsia" w:ascii="仿宋" w:hAnsi="仿宋" w:eastAsia="仿宋"/>
          <w:color w:val="000000"/>
          <w:kern w:val="2"/>
          <w:sz w:val="28"/>
          <w:szCs w:val="28"/>
        </w:rPr>
        <w:t>持有二级船长证，其余7人均持有普通船员证，</w:t>
      </w:r>
      <w:r>
        <w:rPr>
          <w:rFonts w:hint="eastAsia" w:ascii="仿宋" w:hAnsi="仿宋" w:eastAsia="仿宋" w:cs="仿宋_GB2312"/>
          <w:sz w:val="28"/>
          <w:szCs w:val="28"/>
        </w:rPr>
        <w:t>船上未按《海洋渔业职务船员最低配员标准》配齐职务船员，</w:t>
      </w:r>
      <w:r>
        <w:rPr>
          <w:rFonts w:hint="eastAsia" w:ascii="仿宋" w:hAnsi="仿宋" w:eastAsia="仿宋"/>
          <w:color w:val="000000"/>
          <w:sz w:val="28"/>
          <w:szCs w:val="28"/>
        </w:rPr>
        <w:t>缺少二级船副1名，二级轮机长1名，助理管轮1名。</w:t>
      </w:r>
      <w:r>
        <w:rPr>
          <w:rFonts w:hint="eastAsia" w:ascii="仿宋" w:hAnsi="仿宋" w:eastAsia="仿宋" w:cs="仿宋_GB2312"/>
          <w:sz w:val="28"/>
          <w:szCs w:val="28"/>
        </w:rPr>
        <w:t>该船开航时船上有8个人，只有报备4个人，未按规定办理渔业船舶进出港报告手续的行为。</w:t>
      </w:r>
    </w:p>
    <w:p w14:paraId="3288A337">
      <w:pPr>
        <w:spacing w:after="0" w:line="460" w:lineRule="exact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以上违法事实清楚，并有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《现场检查笔录》1份、《询问</w:t>
      </w:r>
      <w:r>
        <w:rPr>
          <w:rFonts w:hint="eastAsia" w:ascii="仿宋" w:hAnsi="仿宋" w:eastAsia="仿宋" w:cs="仿宋"/>
          <w:sz w:val="28"/>
          <w:szCs w:val="28"/>
        </w:rPr>
        <w:t>笔录》2份、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照片、录</w:t>
      </w:r>
      <w:r>
        <w:rPr>
          <w:rFonts w:hint="eastAsia" w:ascii="仿宋" w:hAnsi="仿宋" w:eastAsia="仿宋" w:cs="仿宋"/>
          <w:sz w:val="28"/>
          <w:szCs w:val="28"/>
        </w:rPr>
        <w:t>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等证据证明。</w:t>
      </w:r>
    </w:p>
    <w:p w14:paraId="6A4A614F">
      <w:pPr>
        <w:spacing w:after="0"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本机关执法人员于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2024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9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日向你（单位）送达了《行政处罚事先告知书》（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闽</w:t>
      </w:r>
      <w:r>
        <w:rPr>
          <w:rFonts w:hint="eastAsia" w:ascii="仿宋" w:hAnsi="仿宋" w:eastAsia="仿宋" w:cs="仿宋"/>
          <w:sz w:val="28"/>
          <w:szCs w:val="28"/>
        </w:rPr>
        <w:t>榕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渔告〔2024〕6－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号）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，告知了违法事实、依据和拟作出的行政处罚事项，并告知享有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陈述、申辩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听证权利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。对此，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你于2024年9月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日对《行政处罚事先告知书》内容进行陈诉申辩，表明对本机关认定的事实、理由、依据及拟作出的行政处罚内容无异议，并放弃陈诉申辩的情况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4BFE9F42">
      <w:pPr>
        <w:spacing w:after="0" w:line="440" w:lineRule="exact"/>
        <w:jc w:val="center"/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上述行为你违法</w:t>
      </w:r>
      <w:r>
        <w:rPr>
          <w:rFonts w:hint="eastAsia" w:ascii="仿宋" w:hAnsi="仿宋" w:eastAsia="仿宋" w:cs="仿宋_GB2312"/>
          <w:sz w:val="28"/>
          <w:szCs w:val="28"/>
        </w:rPr>
        <w:t>《中华人民共和国渔业船员管理办法》第二十三条第二项及第六项之规定：“船长是渔业安全生产的直接责任人，在组织开展渔业生产、保障水上人身与财产安全、防治渔业船舶污染水域和处置突发事件方面，具有独立决定权，并履行以下职责</w:t>
      </w:r>
      <w:r>
        <w:rPr>
          <w:rFonts w:hint="eastAsia" w:ascii="仿宋" w:hAnsi="仿宋" w:eastAsia="仿宋" w:cs="仿宋_GB2312"/>
          <w:sz w:val="28"/>
          <w:szCs w:val="28"/>
          <w:shd w:val="clear" w:color="auto" w:fill="FFFFFF"/>
          <w:lang w:bidi="ar"/>
        </w:rPr>
        <w:t>（二）“确保渔业船舶和船员在开航时处于适航、适任状态，保证渔业船舶符合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（第1页 共2页）</w:t>
      </w:r>
    </w:p>
    <w:p w14:paraId="4B937F99">
      <w:pPr>
        <w:shd w:val="clear" w:color="auto" w:fill="FFFFFF"/>
        <w:spacing w:after="0" w:line="360" w:lineRule="atLeast"/>
        <w:jc w:val="center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续页</w:t>
      </w:r>
      <w:r>
        <w:rPr>
          <w:rFonts w:hint="eastAsia" w:ascii="仿宋" w:hAnsi="仿宋" w:eastAsia="仿宋" w:cs="仿宋_GB2312"/>
          <w:sz w:val="28"/>
          <w:szCs w:val="28"/>
        </w:rPr>
        <w:br w:type="textWrapping"/>
      </w:r>
      <w:r>
        <w:rPr>
          <w:rFonts w:hint="eastAsia" w:ascii="仿宋" w:hAnsi="仿宋" w:eastAsia="仿宋" w:cs="仿宋_GB2312"/>
          <w:sz w:val="28"/>
          <w:szCs w:val="28"/>
          <w:shd w:val="clear" w:color="auto" w:fill="FFFFFF"/>
          <w:lang w:bidi="ar"/>
        </w:rPr>
        <w:t>最低配员标准，保证渔业船舶的正常值班</w:t>
      </w:r>
      <w:r>
        <w:rPr>
          <w:rFonts w:hint="eastAsia" w:ascii="仿宋" w:hAnsi="仿宋" w:eastAsia="仿宋" w:cs="仿宋_GB2312"/>
          <w:sz w:val="28"/>
          <w:szCs w:val="28"/>
        </w:rPr>
        <w:t>”的规定。（六）按规定申请办理渔业船舶进出港签证手续”的规定。依据《中华人民共和国渔业船员管理办法》第四十四条第一款：渔业船舶的船长违反本办法第二十三条第二项规定的，由渔政渔港监督管理机构处2000元以上2万元以下罚款；情节严重的，并处暂扣渔业船员证书6个月以上2年以下直至吊销渔业船员证书的处罚。按照《福州市海洋与渔业局行政处罚自由裁量标准》（渔业篇）FZ01HY-CF-0036的规定：一般情节，处罚款。罚款额=2000+100元/米*船长，最高不超过2万元。即罚款数额＝2000+100*38.5=5850元。渔业船舶和船员在开航时未处于适航、适任状态，对船长记3分。拟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沈*丰</w:t>
      </w:r>
      <w:r>
        <w:rPr>
          <w:rFonts w:hint="eastAsia" w:ascii="仿宋" w:hAnsi="仿宋" w:eastAsia="仿宋" w:cs="仿宋_GB2312"/>
          <w:sz w:val="28"/>
          <w:szCs w:val="28"/>
        </w:rPr>
        <w:t>作出如下处理决定：责令改正违法行为，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沈*丰</w:t>
      </w:r>
      <w:r>
        <w:rPr>
          <w:rFonts w:hint="eastAsia" w:ascii="仿宋" w:hAnsi="仿宋" w:eastAsia="仿宋" w:cs="仿宋_GB2312"/>
          <w:sz w:val="28"/>
          <w:szCs w:val="28"/>
        </w:rPr>
        <w:t>二级渔业船长职务证书记3分，并拟给予处人民币5850元罚款；依据《中华人民共和国渔业船员管理办法》第四十四条第二款：“</w:t>
      </w:r>
      <w:r>
        <w:rPr>
          <w:rFonts w:ascii="仿宋" w:hAnsi="仿宋" w:eastAsia="仿宋" w:cs="仿宋_GB2312"/>
          <w:sz w:val="28"/>
          <w:szCs w:val="28"/>
        </w:rPr>
        <w:t>违反第二十三条第六项规定的，责令改正，并可以处警告、2000元以上2万元以下罚款；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节严重的，并处暂扣渔业船员证书6个月以下，直至吊销渔业船员证书的处罚。”的规定，按照《福州市海洋与渔业局行政处罚自由裁量标准》FZ01HY-CF-0040一般情节“报告内容不实，处罚款。罚款额=3000+200元/米*船长，最高不超过2万元”的规定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沈*丰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办理的报告内容不实，即罚款额=3000+200*38.5=10700元，</w:t>
      </w:r>
      <w:r>
        <w:rPr>
          <w:rFonts w:hint="eastAsia" w:ascii="仿宋" w:hAnsi="仿宋" w:eastAsia="仿宋" w:cs="仿宋_GB2312"/>
          <w:sz w:val="28"/>
          <w:szCs w:val="28"/>
        </w:rPr>
        <w:t>另外按照《海洋渔业船员违法违规记分分值标准》代码1207的规定，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渔业船舶进出港依照规定应当报告而未报告的</w:t>
      </w:r>
      <w:r>
        <w:rPr>
          <w:rFonts w:hint="eastAsia" w:ascii="仿宋" w:hAnsi="仿宋" w:eastAsia="仿宋" w:cs="仿宋_GB2312"/>
          <w:sz w:val="28"/>
          <w:szCs w:val="28"/>
        </w:rPr>
        <w:t>，对船长记3分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60811DC">
      <w:pPr>
        <w:shd w:val="clear" w:color="auto" w:fill="FFFFFF"/>
        <w:spacing w:after="0"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本机关作出如下处罚决定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责令改正违法行为，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对船长记6分，并处</w:t>
      </w:r>
      <w:r>
        <w:rPr>
          <w:rFonts w:ascii="仿宋" w:hAnsi="仿宋" w:eastAsia="仿宋" w:cs="仿宋_GB2312"/>
          <w:color w:val="000000"/>
          <w:kern w:val="2"/>
          <w:sz w:val="28"/>
          <w:szCs w:val="28"/>
          <w:u w:val="single"/>
        </w:rPr>
        <w:t>以</w:t>
      </w:r>
      <w:r>
        <w:rPr>
          <w:rFonts w:ascii="仿宋" w:hAnsi="仿宋" w:eastAsia="仿宋" w:cs="仿宋_GB2312"/>
          <w:color w:val="000000"/>
          <w:kern w:val="2"/>
          <w:sz w:val="28"/>
          <w:szCs w:val="28"/>
          <w:u w:val="single"/>
        </w:rPr>
        <w:t>罚款</w:t>
      </w:r>
      <w:r>
        <w:rPr>
          <w:rFonts w:ascii="仿宋" w:hAnsi="仿宋" w:eastAsia="仿宋" w:cs="仿宋_GB2312"/>
          <w:color w:val="000000"/>
          <w:kern w:val="2"/>
          <w:sz w:val="28"/>
          <w:szCs w:val="28"/>
          <w:u w:val="single"/>
        </w:rPr>
        <w:t>人民币</w:t>
      </w:r>
      <w:r>
        <w:rPr>
          <w:rFonts w:hint="eastAsia" w:ascii="仿宋" w:hAnsi="仿宋" w:eastAsia="仿宋" w:cs="仿宋_GB2312"/>
          <w:color w:val="000000"/>
          <w:kern w:val="2"/>
          <w:sz w:val="28"/>
          <w:szCs w:val="28"/>
          <w:u w:val="single"/>
        </w:rPr>
        <w:t>16550</w:t>
      </w:r>
      <w:r>
        <w:rPr>
          <w:rFonts w:hint="eastAsia" w:ascii="仿宋" w:hAnsi="仿宋" w:eastAsia="仿宋" w:cs="仿宋_GB2312"/>
          <w:color w:val="000000"/>
          <w:kern w:val="2"/>
          <w:sz w:val="28"/>
          <w:szCs w:val="28"/>
          <w:u w:val="single"/>
          <w:lang w:val="en-US" w:eastAsia="zh-CN"/>
        </w:rPr>
        <w:t>元整</w:t>
      </w:r>
      <w:bookmarkStart w:id="0" w:name="_GoBack"/>
      <w:bookmarkEnd w:id="0"/>
      <w:r>
        <w:rPr>
          <w:rFonts w:ascii="仿宋" w:hAnsi="仿宋" w:eastAsia="仿宋" w:cs="仿宋_GB2312"/>
          <w:color w:val="000000"/>
          <w:kern w:val="2"/>
          <w:sz w:val="28"/>
          <w:szCs w:val="28"/>
          <w:u w:val="single"/>
        </w:rPr>
        <w:t>。</w:t>
      </w:r>
    </w:p>
    <w:p w14:paraId="16BC1460">
      <w:pPr>
        <w:spacing w:after="0" w:line="440" w:lineRule="exact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你必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须在收到本决定书之日起十五日内，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按照《福建省非税收缴款通知书》指定的缴款渠道缴纳罚款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，逾期不按规定缴纳罚款的，每日按罚款金额的3%加处罚款。你对本决定不服，可在收到本决定书之日起六十日内向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福州市人民政府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申请复议或在收到本决定书之日起六个月内向</w:t>
      </w:r>
      <w:r>
        <w:rPr>
          <w:rFonts w:hint="eastAsia" w:ascii="仿宋" w:hAnsi="仿宋" w:eastAsia="仿宋" w:cs="仿宋"/>
          <w:sz w:val="28"/>
          <w:szCs w:val="28"/>
          <w:u w:val="single"/>
        </w:rPr>
        <w:t>厦门海事法院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起诉。你逾期不申请复议或起诉，也不履行本决定的，本机关将申请人民法院强制执行或依法强制执行。</w:t>
      </w:r>
    </w:p>
    <w:p w14:paraId="4EC7C9B6">
      <w:pPr>
        <w:widowControl w:val="0"/>
        <w:spacing w:after="0" w:line="440" w:lineRule="exact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16E25D9E">
      <w:pPr>
        <w:widowControl w:val="0"/>
        <w:spacing w:after="0" w:line="440" w:lineRule="exact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005E6953">
      <w:pPr>
        <w:widowControl w:val="0"/>
        <w:spacing w:after="0" w:line="440" w:lineRule="exact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2E20DE2C">
      <w:pPr>
        <w:widowControl w:val="0"/>
        <w:adjustRightInd/>
        <w:spacing w:after="0" w:line="440" w:lineRule="exact"/>
        <w:ind w:firstLine="4340" w:firstLineChars="155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福州市海洋与渔业执法支队</w:t>
      </w:r>
    </w:p>
    <w:p w14:paraId="0FE0D1A9">
      <w:pPr>
        <w:widowControl w:val="0"/>
        <w:adjustRightInd/>
        <w:spacing w:after="0" w:line="440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 xml:space="preserve">                                   2024年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 xml:space="preserve">日  </w:t>
      </w:r>
    </w:p>
    <w:p w14:paraId="3233AEBB">
      <w:pPr>
        <w:widowControl w:val="0"/>
        <w:adjustRightInd/>
        <w:spacing w:after="0" w:line="440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</w:rPr>
      </w:pPr>
    </w:p>
    <w:p w14:paraId="7B167575">
      <w:pPr>
        <w:widowControl w:val="0"/>
        <w:adjustRightInd/>
        <w:snapToGrid/>
        <w:spacing w:after="0" w:line="440" w:lineRule="exact"/>
        <w:jc w:val="center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（第2页 共2页）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TJjMDliYjc1ZTI2NTVjYTJiOTZlNWNmZjJhZmUifQ=="/>
  </w:docVars>
  <w:rsids>
    <w:rsidRoot w:val="00172A27"/>
    <w:rsid w:val="00022157"/>
    <w:rsid w:val="00043623"/>
    <w:rsid w:val="00050201"/>
    <w:rsid w:val="0005791A"/>
    <w:rsid w:val="000A0C6E"/>
    <w:rsid w:val="000B5218"/>
    <w:rsid w:val="000D746F"/>
    <w:rsid w:val="000F104A"/>
    <w:rsid w:val="00120856"/>
    <w:rsid w:val="001843BA"/>
    <w:rsid w:val="001B5B0A"/>
    <w:rsid w:val="001E4D3D"/>
    <w:rsid w:val="001F69A2"/>
    <w:rsid w:val="00227DFC"/>
    <w:rsid w:val="00230D86"/>
    <w:rsid w:val="00257503"/>
    <w:rsid w:val="002679B6"/>
    <w:rsid w:val="002878CB"/>
    <w:rsid w:val="002B2265"/>
    <w:rsid w:val="002D7ED8"/>
    <w:rsid w:val="00331D7C"/>
    <w:rsid w:val="00387F21"/>
    <w:rsid w:val="003E6B46"/>
    <w:rsid w:val="004219CB"/>
    <w:rsid w:val="0048769F"/>
    <w:rsid w:val="00494C92"/>
    <w:rsid w:val="004D6B0D"/>
    <w:rsid w:val="005A658C"/>
    <w:rsid w:val="0060642D"/>
    <w:rsid w:val="00621248"/>
    <w:rsid w:val="00677A28"/>
    <w:rsid w:val="00692353"/>
    <w:rsid w:val="006B66E8"/>
    <w:rsid w:val="007179A3"/>
    <w:rsid w:val="00762B24"/>
    <w:rsid w:val="007672F8"/>
    <w:rsid w:val="007964F8"/>
    <w:rsid w:val="00803492"/>
    <w:rsid w:val="00831C6A"/>
    <w:rsid w:val="008D38CE"/>
    <w:rsid w:val="009B4B61"/>
    <w:rsid w:val="009D700C"/>
    <w:rsid w:val="00A4093B"/>
    <w:rsid w:val="00A948AE"/>
    <w:rsid w:val="00AB67B3"/>
    <w:rsid w:val="00AE1D73"/>
    <w:rsid w:val="00B003EE"/>
    <w:rsid w:val="00B30351"/>
    <w:rsid w:val="00B74312"/>
    <w:rsid w:val="00B83B6B"/>
    <w:rsid w:val="00B87DC8"/>
    <w:rsid w:val="00BC3A8B"/>
    <w:rsid w:val="00BD4D6A"/>
    <w:rsid w:val="00BD770A"/>
    <w:rsid w:val="00C2034F"/>
    <w:rsid w:val="00C61ACF"/>
    <w:rsid w:val="00CA0F3F"/>
    <w:rsid w:val="00CC6310"/>
    <w:rsid w:val="00CF7D86"/>
    <w:rsid w:val="00D13524"/>
    <w:rsid w:val="00D231D5"/>
    <w:rsid w:val="00D327E9"/>
    <w:rsid w:val="00D651A4"/>
    <w:rsid w:val="00D96332"/>
    <w:rsid w:val="00D97C41"/>
    <w:rsid w:val="00DA15A3"/>
    <w:rsid w:val="00DC202D"/>
    <w:rsid w:val="00E3664A"/>
    <w:rsid w:val="00E736CA"/>
    <w:rsid w:val="00E96FF8"/>
    <w:rsid w:val="00EF6827"/>
    <w:rsid w:val="00F20A2B"/>
    <w:rsid w:val="00F2143B"/>
    <w:rsid w:val="00F23870"/>
    <w:rsid w:val="00F43A03"/>
    <w:rsid w:val="00F7182B"/>
    <w:rsid w:val="00FA4E04"/>
    <w:rsid w:val="00FE7EF4"/>
    <w:rsid w:val="00FF0A8D"/>
    <w:rsid w:val="048E4B7A"/>
    <w:rsid w:val="04EB0CA8"/>
    <w:rsid w:val="0AE3282E"/>
    <w:rsid w:val="0B8D0A12"/>
    <w:rsid w:val="10337A3B"/>
    <w:rsid w:val="12451707"/>
    <w:rsid w:val="143F6870"/>
    <w:rsid w:val="145900FB"/>
    <w:rsid w:val="178F4508"/>
    <w:rsid w:val="19561BC7"/>
    <w:rsid w:val="1AF7425C"/>
    <w:rsid w:val="1F202E63"/>
    <w:rsid w:val="21CA3DA4"/>
    <w:rsid w:val="230B4AC3"/>
    <w:rsid w:val="25C802B9"/>
    <w:rsid w:val="26C2212C"/>
    <w:rsid w:val="295344CB"/>
    <w:rsid w:val="29B32638"/>
    <w:rsid w:val="2BF63C3F"/>
    <w:rsid w:val="2C1520B2"/>
    <w:rsid w:val="2FA26B87"/>
    <w:rsid w:val="33886F6E"/>
    <w:rsid w:val="34E91574"/>
    <w:rsid w:val="3AE50355"/>
    <w:rsid w:val="3F384F46"/>
    <w:rsid w:val="405C39B3"/>
    <w:rsid w:val="422C55FA"/>
    <w:rsid w:val="43701455"/>
    <w:rsid w:val="452B27DA"/>
    <w:rsid w:val="4A314103"/>
    <w:rsid w:val="4C4475EA"/>
    <w:rsid w:val="4C951381"/>
    <w:rsid w:val="4EB73F45"/>
    <w:rsid w:val="50116E81"/>
    <w:rsid w:val="510C2DAE"/>
    <w:rsid w:val="52872D62"/>
    <w:rsid w:val="53283BC9"/>
    <w:rsid w:val="54985A11"/>
    <w:rsid w:val="5503564E"/>
    <w:rsid w:val="55C10607"/>
    <w:rsid w:val="560B5B2E"/>
    <w:rsid w:val="57A26E3D"/>
    <w:rsid w:val="59911328"/>
    <w:rsid w:val="5A2E4CDF"/>
    <w:rsid w:val="5AC650AC"/>
    <w:rsid w:val="62C21041"/>
    <w:rsid w:val="68680A3E"/>
    <w:rsid w:val="6A6F2322"/>
    <w:rsid w:val="71E35154"/>
    <w:rsid w:val="733F6968"/>
    <w:rsid w:val="74A215D5"/>
    <w:rsid w:val="76C43A85"/>
    <w:rsid w:val="78761516"/>
    <w:rsid w:val="7A9425E5"/>
    <w:rsid w:val="7D5B0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3274</Words>
  <Characters>3616</Characters>
  <Lines>26</Lines>
  <Paragraphs>7</Paragraphs>
  <TotalTime>2</TotalTime>
  <ScaleCrop>false</ScaleCrop>
  <LinksUpToDate>false</LinksUpToDate>
  <CharactersWithSpaces>3718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2022-01-25T02:11:00Z</dcterms:created>
  <dc:creator>Administrator</dc:creator>
  <cp:lastModifiedBy>AAA</cp:lastModifiedBy>
  <cp:lastPrinted>2024-09-19T06:14:12Z</cp:lastPrinted>
  <dcterms:modified xsi:type="dcterms:W3CDTF">2024-09-20T13:43:08Z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55617665072C475F80BF800F2CF1A917_13</vt:lpwstr>
  </property>
  <property fmtid="{D5CDD505-2E9C-101B-9397-08002B2CF9AE}" pid="3" name="KSOProductBuildVer">
    <vt:lpwstr>2052-12.1.0.18276</vt:lpwstr>
  </property>
</Properties>
</file>