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rPr>
      </w:pPr>
    </w:p>
    <w:p>
      <w:pPr>
        <w:adjustRightInd w:val="0"/>
        <w:snapToGrid w:val="0"/>
        <w:rPr>
          <w:rFonts w:hint="eastAsia"/>
        </w:rPr>
      </w:pPr>
    </w:p>
    <w:p>
      <w:pPr>
        <w:adjustRightInd w:val="0"/>
        <w:snapToGrid w:val="0"/>
        <w:ind w:left="325" w:hanging="116"/>
        <w:rPr>
          <w:rFonts w:eastAsia="华文中宋"/>
          <w:b/>
          <w:bCs/>
          <w:snapToGrid w:val="0"/>
          <w:color w:val="FF0000"/>
          <w:spacing w:val="100"/>
          <w:kern w:val="0"/>
          <w:sz w:val="80"/>
          <w:szCs w:val="80"/>
          <w:fitText w:val="324" w:id="2066681727"/>
        </w:rPr>
      </w:pPr>
      <w:r>
        <w:rPr>
          <w:rFonts w:hint="eastAsia" w:eastAsia="华文中宋"/>
          <w:b/>
          <w:bCs/>
          <w:snapToGrid w:val="0"/>
          <w:color w:val="FF0000"/>
          <w:spacing w:val="26"/>
          <w:kern w:val="0"/>
          <w:sz w:val="80"/>
          <w:szCs w:val="80"/>
          <w:fitText w:val="6768" w:id="6"/>
        </w:rPr>
        <w:t>福建省</w:t>
      </w:r>
      <w:r>
        <w:rPr>
          <w:rFonts w:eastAsia="华文中宋"/>
          <w:b/>
          <w:bCs/>
          <w:snapToGrid w:val="0"/>
          <w:color w:val="FF0000"/>
          <w:spacing w:val="26"/>
          <w:kern w:val="0"/>
          <w:sz w:val="80"/>
          <w:szCs w:val="80"/>
          <w:fitText w:val="6768" w:id="6"/>
        </w:rPr>
        <w:t>生态</w:t>
      </w:r>
      <w:r>
        <w:rPr>
          <w:rFonts w:hint="eastAsia" w:eastAsia="华文中宋"/>
          <w:b/>
          <w:bCs/>
          <w:snapToGrid w:val="0"/>
          <w:color w:val="FF0000"/>
          <w:spacing w:val="26"/>
          <w:kern w:val="0"/>
          <w:sz w:val="80"/>
          <w:szCs w:val="80"/>
          <w:fitText w:val="6768" w:id="6"/>
        </w:rPr>
        <w:t>环境</w:t>
      </w:r>
      <w:r>
        <w:rPr>
          <w:rFonts w:hint="eastAsia" w:eastAsia="华文中宋"/>
          <w:b/>
          <w:bCs/>
          <w:snapToGrid w:val="0"/>
          <w:color w:val="FF0000"/>
          <w:spacing w:val="2"/>
          <w:kern w:val="0"/>
          <w:sz w:val="80"/>
          <w:szCs w:val="80"/>
          <w:fitText w:val="6768" w:id="6"/>
        </w:rPr>
        <w:t>厅</w:t>
      </w:r>
    </w:p>
    <w:p>
      <w:pPr>
        <w:tabs>
          <w:tab w:val="left" w:pos="3269"/>
        </w:tabs>
        <w:adjustRightInd w:val="0"/>
        <w:snapToGrid w:val="0"/>
        <w:ind w:left="209" w:hanging="15"/>
        <w:rPr>
          <w:rFonts w:hint="eastAsia" w:eastAsia="华文中宋"/>
          <w:b/>
          <w:bCs/>
          <w:snapToGrid w:val="0"/>
          <w:color w:val="FF0000"/>
          <w:kern w:val="0"/>
          <w:sz w:val="80"/>
          <w:szCs w:val="80"/>
          <w:lang w:eastAsia="zh-CN"/>
        </w:rPr>
      </w:pPr>
      <w:r>
        <w:rPr>
          <w:rFonts w:eastAsia="华文中宋"/>
          <w:b/>
          <w:bCs/>
          <w:color w:val="FF0000"/>
          <w:kern w:val="0"/>
          <w:sz w:val="80"/>
          <w:szCs w:val="80"/>
        </w:rPr>
        <mc:AlternateContent>
          <mc:Choice Requires="wps">
            <w:drawing>
              <wp:anchor distT="0" distB="0" distL="114300" distR="114300" simplePos="0" relativeHeight="251661312" behindDoc="1" locked="0" layoutInCell="1" allowOverlap="1">
                <wp:simplePos x="0" y="0"/>
                <wp:positionH relativeFrom="column">
                  <wp:posOffset>4371340</wp:posOffset>
                </wp:positionH>
                <wp:positionV relativeFrom="paragraph">
                  <wp:posOffset>405130</wp:posOffset>
                </wp:positionV>
                <wp:extent cx="1156335" cy="1020445"/>
                <wp:effectExtent l="0" t="0" r="5715" b="8255"/>
                <wp:wrapNone/>
                <wp:docPr id="3" name="文本框 2"/>
                <wp:cNvGraphicFramePr/>
                <a:graphic xmlns:a="http://schemas.openxmlformats.org/drawingml/2006/main">
                  <a:graphicData uri="http://schemas.microsoft.com/office/word/2010/wordprocessingShape">
                    <wps:wsp>
                      <wps:cNvSpPr txBox="1"/>
                      <wps:spPr>
                        <a:xfrm>
                          <a:off x="0" y="0"/>
                          <a:ext cx="1156335" cy="1020445"/>
                        </a:xfrm>
                        <a:prstGeom prst="rect">
                          <a:avLst/>
                        </a:prstGeom>
                        <a:solidFill>
                          <a:srgbClr val="FFFFFF"/>
                        </a:solidFill>
                        <a:ln>
                          <a:noFill/>
                        </a:ln>
                      </wps:spPr>
                      <wps:txbx>
                        <w:txbxContent>
                          <w:p>
                            <w:pPr>
                              <w:pStyle w:val="9"/>
                              <w:tabs>
                                <w:tab w:val="left" w:pos="1434"/>
                              </w:tabs>
                              <w:rPr>
                                <w:rFonts w:hint="eastAsia" w:eastAsia="华文中宋"/>
                                <w:b/>
                                <w:bCs/>
                                <w:color w:val="FF0000"/>
                                <w:w w:val="90"/>
                                <w:sz w:val="80"/>
                                <w:szCs w:val="80"/>
                              </w:rPr>
                            </w:pPr>
                            <w:r>
                              <w:rPr>
                                <w:rFonts w:hint="eastAsia" w:eastAsia="华文中宋"/>
                                <w:b/>
                                <w:bCs/>
                                <w:color w:val="FF0000"/>
                                <w:w w:val="90"/>
                                <w:sz w:val="80"/>
                                <w:szCs w:val="80"/>
                              </w:rPr>
                              <w:t>文件</w:t>
                            </w:r>
                          </w:p>
                          <w:p>
                            <w:pPr>
                              <w:tabs>
                                <w:tab w:val="left" w:pos="1434"/>
                              </w:tabs>
                            </w:pPr>
                          </w:p>
                        </w:txbxContent>
                      </wps:txbx>
                      <wps:bodyPr wrap="square" upright="1"/>
                    </wps:wsp>
                  </a:graphicData>
                </a:graphic>
              </wp:anchor>
            </w:drawing>
          </mc:Choice>
          <mc:Fallback>
            <w:pict>
              <v:shape id="文本框 2" o:spid="_x0000_s1026" o:spt="202" type="#_x0000_t202" style="position:absolute;left:0pt;margin-left:344.2pt;margin-top:31.9pt;height:80.35pt;width:91.05pt;z-index:-251655168;mso-width-relative:page;mso-height-relative:page;" fillcolor="#FFFFFF" filled="t" stroked="f" coordsize="21600,21600" o:gfxdata="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fCMmNgAAAAKAQAADwAAAAAAAAABACAAAAAiAAAAZHJz&#10;L2Rvd25yZXYueG1sUEsBAhQAFAAAAAgAh07iQAOpFUnLAQAAhgMAAA4AAAAAAAAAAQAgAAAAJwEA&#10;AGRycy9lMm9Eb2MueG1sUEsFBgAAAAAGAAYAWQEAAGQFAAAAAA==&#10;">
                <v:fill on="t" focussize="0,0"/>
                <v:stroke on="f"/>
                <v:imagedata o:title=""/>
                <o:lock v:ext="edit" aspectratio="f"/>
                <v:textbox>
                  <w:txbxContent>
                    <w:p>
                      <w:pPr>
                        <w:pStyle w:val="9"/>
                        <w:tabs>
                          <w:tab w:val="left" w:pos="1434"/>
                        </w:tabs>
                        <w:rPr>
                          <w:rFonts w:hint="eastAsia" w:eastAsia="华文中宋"/>
                          <w:b/>
                          <w:bCs/>
                          <w:color w:val="FF0000"/>
                          <w:w w:val="90"/>
                          <w:sz w:val="80"/>
                          <w:szCs w:val="80"/>
                        </w:rPr>
                      </w:pPr>
                      <w:r>
                        <w:rPr>
                          <w:rFonts w:hint="eastAsia" w:eastAsia="华文中宋"/>
                          <w:b/>
                          <w:bCs/>
                          <w:color w:val="FF0000"/>
                          <w:w w:val="90"/>
                          <w:sz w:val="80"/>
                          <w:szCs w:val="80"/>
                        </w:rPr>
                        <w:t>文件</w:t>
                      </w:r>
                    </w:p>
                    <w:p>
                      <w:pPr>
                        <w:tabs>
                          <w:tab w:val="left" w:pos="1434"/>
                        </w:tabs>
                      </w:pPr>
                    </w:p>
                  </w:txbxContent>
                </v:textbox>
              </v:shape>
            </w:pict>
          </mc:Fallback>
        </mc:AlternateContent>
      </w:r>
      <w:r>
        <w:rPr>
          <w:rFonts w:hint="eastAsia" w:ascii="华文中宋" w:eastAsia="华文中宋"/>
          <w:b/>
          <w:bCs/>
          <w:color w:val="FF0000"/>
          <w:kern w:val="0"/>
          <w:sz w:val="80"/>
          <w:szCs w:val="80"/>
          <w:lang w:eastAsia="zh-CN"/>
        </w:rPr>
        <w:tab/>
      </w:r>
      <w:r>
        <w:rPr>
          <w:rFonts w:hint="eastAsia" w:eastAsia="华文中宋"/>
          <w:b/>
          <w:bCs/>
          <w:snapToGrid w:val="0"/>
          <w:color w:val="FF0000"/>
          <w:spacing w:val="0"/>
          <w:w w:val="75"/>
          <w:kern w:val="0"/>
          <w:sz w:val="80"/>
          <w:szCs w:val="80"/>
          <w:fitText w:val="6600" w:id="6"/>
          <w:lang w:eastAsia="zh-CN"/>
        </w:rPr>
        <w:t>福建省发展和改革委员</w:t>
      </w:r>
      <w:r>
        <w:rPr>
          <w:rFonts w:hint="eastAsia" w:eastAsia="华文中宋"/>
          <w:b/>
          <w:bCs/>
          <w:snapToGrid w:val="0"/>
          <w:color w:val="FF0000"/>
          <w:spacing w:val="-3"/>
          <w:w w:val="75"/>
          <w:kern w:val="0"/>
          <w:sz w:val="80"/>
          <w:szCs w:val="80"/>
          <w:fitText w:val="6600" w:id="6"/>
          <w:lang w:eastAsia="zh-CN"/>
        </w:rPr>
        <w:t>会</w:t>
      </w:r>
      <w:bookmarkStart w:id="7" w:name="_GoBack"/>
      <w:bookmarkEnd w:id="7"/>
    </w:p>
    <w:p>
      <w:pPr>
        <w:tabs>
          <w:tab w:val="left" w:pos="3269"/>
        </w:tabs>
        <w:adjustRightInd w:val="0"/>
        <w:snapToGrid w:val="0"/>
        <w:ind w:left="209" w:hanging="15"/>
        <w:rPr>
          <w:rFonts w:hint="eastAsia" w:eastAsia="华文中宋"/>
          <w:b/>
          <w:bCs/>
          <w:snapToGrid w:val="0"/>
          <w:color w:val="FF0000"/>
          <w:kern w:val="0"/>
          <w:sz w:val="80"/>
          <w:szCs w:val="80"/>
          <w:lang w:eastAsia="zh-CN"/>
        </w:rPr>
      </w:pPr>
      <w:r>
        <w:rPr>
          <w:rFonts w:hint="eastAsia" w:eastAsia="华文中宋"/>
          <w:b/>
          <w:bCs/>
          <w:snapToGrid w:val="0"/>
          <w:color w:val="FF0000"/>
          <w:spacing w:val="1"/>
          <w:w w:val="82"/>
          <w:kern w:val="0"/>
          <w:sz w:val="80"/>
          <w:szCs w:val="80"/>
          <w:fitText w:val="6600" w:id="6"/>
          <w:lang w:eastAsia="zh-CN"/>
        </w:rPr>
        <w:t>福建省工业和信息化</w:t>
      </w:r>
      <w:r>
        <w:rPr>
          <w:rFonts w:hint="eastAsia" w:eastAsia="华文中宋"/>
          <w:b/>
          <w:bCs/>
          <w:snapToGrid w:val="0"/>
          <w:color w:val="FF0000"/>
          <w:spacing w:val="3"/>
          <w:w w:val="82"/>
          <w:kern w:val="0"/>
          <w:sz w:val="80"/>
          <w:szCs w:val="80"/>
          <w:fitText w:val="6600" w:id="6"/>
          <w:lang w:eastAsia="zh-CN"/>
        </w:rPr>
        <w:t>厅</w:t>
      </w:r>
    </w:p>
    <w:p>
      <w:pPr>
        <w:tabs>
          <w:tab w:val="left" w:pos="3269"/>
        </w:tabs>
        <w:adjustRightInd w:val="0"/>
        <w:snapToGrid w:val="0"/>
        <w:ind w:left="209" w:hanging="15"/>
        <w:rPr>
          <w:rFonts w:hint="eastAsia" w:eastAsia="华文中宋"/>
          <w:b/>
          <w:bCs/>
          <w:snapToGrid w:val="0"/>
          <w:color w:val="FF0000"/>
          <w:kern w:val="0"/>
          <w:sz w:val="80"/>
          <w:szCs w:val="80"/>
          <w:lang w:eastAsia="zh-CN"/>
        </w:rPr>
      </w:pPr>
      <w:r>
        <w:rPr>
          <w:rFonts w:hint="eastAsia" w:eastAsia="华文中宋"/>
          <w:b/>
          <w:bCs/>
          <w:snapToGrid w:val="0"/>
          <w:color w:val="FF0000"/>
          <w:spacing w:val="180"/>
          <w:w w:val="100"/>
          <w:kern w:val="0"/>
          <w:sz w:val="80"/>
          <w:szCs w:val="80"/>
          <w:fitText w:val="6600" w:id="6"/>
          <w:lang w:eastAsia="zh-CN"/>
        </w:rPr>
        <w:t>福建省财政</w:t>
      </w:r>
      <w:r>
        <w:rPr>
          <w:rFonts w:hint="eastAsia" w:eastAsia="华文中宋"/>
          <w:b/>
          <w:bCs/>
          <w:snapToGrid w:val="0"/>
          <w:color w:val="FF0000"/>
          <w:spacing w:val="0"/>
          <w:w w:val="100"/>
          <w:kern w:val="0"/>
          <w:sz w:val="80"/>
          <w:szCs w:val="80"/>
          <w:fitText w:val="6600" w:id="6"/>
          <w:lang w:eastAsia="zh-CN"/>
        </w:rPr>
        <w:t>厅</w:t>
      </w:r>
    </w:p>
    <w:p>
      <w:pPr>
        <w:adjustRightInd w:val="0"/>
        <w:snapToGrid w:val="0"/>
        <w:rPr>
          <w:rFonts w:hint="eastAsia"/>
        </w:rPr>
      </w:pPr>
      <w:r>
        <w:rPr>
          <w:rFonts w:hint="eastAsia"/>
        </w:rPr>
        <w:t xml:space="preserve">                                      </w:t>
      </w:r>
    </w:p>
    <w:p>
      <w:pPr>
        <w:adjustRightInd w:val="0"/>
        <w:snapToGrid w:val="0"/>
        <w:ind w:firstLine="320" w:firstLineChars="100"/>
        <w:rPr>
          <w:rFonts w:hint="eastAsia" w:ascii="楷体_GB2312" w:eastAsia="楷体_GB2312"/>
        </w:rPr>
      </w:pPr>
      <w:r>
        <w:rPr>
          <w:rFonts w:hint="eastAsia" w:ascii="仿宋_GB2312"/>
        </w:rPr>
        <w:t xml:space="preserve">                             </w:t>
      </w:r>
    </w:p>
    <w:p>
      <w:pPr>
        <w:adjustRightInd w:val="0"/>
        <w:snapToGrid w:val="0"/>
        <w:ind w:left="0" w:firstLine="160" w:firstLineChars="50"/>
        <w:jc w:val="center"/>
        <w:rPr>
          <w:rFonts w:hint="eastAsia" w:ascii="仿宋_GB2312"/>
        </w:rPr>
      </w:pPr>
      <w:r>
        <w:rPr>
          <w:rFonts w:hint="eastAsia" w:ascii="仿宋_GB2312"/>
        </w:rPr>
        <w:t>闽环</w:t>
      </w:r>
      <w:r>
        <w:rPr>
          <w:rFonts w:hint="eastAsia" w:ascii="仿宋_GB2312"/>
          <w:lang w:eastAsia="zh-CN"/>
        </w:rPr>
        <w:t>规</w:t>
      </w:r>
      <w:r>
        <w:rPr>
          <w:rFonts w:hint="eastAsia" w:ascii="仿宋_GB2312"/>
        </w:rPr>
        <w:t>〔20</w:t>
      </w:r>
      <w:r>
        <w:rPr>
          <w:rFonts w:hint="eastAsia" w:ascii="仿宋_GB2312"/>
          <w:lang w:val="en-US" w:eastAsia="zh-CN"/>
        </w:rPr>
        <w:t>23</w:t>
      </w:r>
      <w:r>
        <w:rPr>
          <w:rFonts w:hint="eastAsia" w:ascii="仿宋_GB2312"/>
        </w:rPr>
        <w:t>〕</w:t>
      </w:r>
      <w:r>
        <w:rPr>
          <w:rFonts w:hint="eastAsia" w:ascii="仿宋_GB2312"/>
          <w:lang w:val="en-US" w:eastAsia="zh-CN"/>
        </w:rPr>
        <w:t>2</w:t>
      </w:r>
      <w:r>
        <w:rPr>
          <w:rFonts w:hint="eastAsia" w:ascii="仿宋_GB2312"/>
        </w:rPr>
        <w:t>号</w:t>
      </w:r>
    </w:p>
    <w:p>
      <w:pPr>
        <w:adjustRightInd w:val="0"/>
        <w:snapToGrid w:val="0"/>
        <w:jc w:val="center"/>
        <w:rPr>
          <w:rFonts w:hint="eastAsia" w:eastAsia="华文中宋"/>
          <w:b/>
          <w:bCs/>
          <w:w w:val="90"/>
          <w:sz w:val="18"/>
        </w:rPr>
      </w:pPr>
      <w: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135890</wp:posOffset>
                </wp:positionV>
                <wp:extent cx="5575300" cy="6985"/>
                <wp:effectExtent l="0" t="13970" r="6350" b="17145"/>
                <wp:wrapNone/>
                <wp:docPr id="4" name="直线 3"/>
                <wp:cNvGraphicFramePr/>
                <a:graphic xmlns:a="http://schemas.openxmlformats.org/drawingml/2006/main">
                  <a:graphicData uri="http://schemas.microsoft.com/office/word/2010/wordprocessingShape">
                    <wps:wsp>
                      <wps:cNvSpPr/>
                      <wps:spPr>
                        <a:xfrm>
                          <a:off x="0" y="0"/>
                          <a:ext cx="5575300" cy="698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4pt;margin-top:10.7pt;height:0.55pt;width:439pt;z-index:251662336;mso-width-relative:page;mso-height-relative:page;" filled="f" stroked="t" coordsize="21600,21600" o:gfxdata="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i&#10;KaDXAAAACAEAAA8AAAAAAAAAAQAgAAAAIgAAAGRycy9kb3ducmV2LnhtbFBLAQIUABQAAAAIAIdO&#10;4kAlmZpI6wEAAN8DAAAOAAAAAAAAAAEAIAAAACYBAABkcnMvZTJvRG9jLnhtbFBLBQYAAAAABgAG&#10;AFkBAACDBQAAAAA=&#10;">
                <v:fill on="f" focussize="0,0"/>
                <v:stroke weight="2.25pt" color="#FF0000" joinstyle="round"/>
                <v:imagedata o:title=""/>
                <o:lock v:ext="edit" aspectratio="f"/>
              </v:line>
            </w:pict>
          </mc:Fallback>
        </mc:AlternateContent>
      </w:r>
    </w:p>
    <w:p>
      <w:pPr>
        <w:tabs>
          <w:tab w:val="left" w:pos="1943"/>
          <w:tab w:val="left" w:pos="3654"/>
        </w:tabs>
        <w:adjustRightInd w:val="0"/>
        <w:snapToGrid w:val="0"/>
        <w:spacing w:line="300" w:lineRule="auto"/>
        <w:jc w:val="center"/>
        <w:rPr>
          <w:rFonts w:hint="eastAsia" w:ascii="仿宋_GB2312" w:eastAsia="仿宋_GB2312"/>
          <w:sz w:val="22"/>
          <w:szCs w:val="22"/>
        </w:rPr>
      </w:pPr>
      <w:r>
        <w:rPr>
          <w:rFonts w:eastAsia="仿宋_GB2312"/>
        </w:rPr>
        <mc:AlternateContent>
          <mc:Choice Requires="wps">
            <w:drawing>
              <wp:anchor distT="0" distB="0" distL="113665" distR="113665" simplePos="0" relativeHeight="251660288" behindDoc="1" locked="0" layoutInCell="1" allowOverlap="1">
                <wp:simplePos x="0" y="0"/>
                <wp:positionH relativeFrom="column">
                  <wp:posOffset>-290195</wp:posOffset>
                </wp:positionH>
                <wp:positionV relativeFrom="page">
                  <wp:posOffset>1729105</wp:posOffset>
                </wp:positionV>
                <wp:extent cx="6116320" cy="1727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2720"/>
                        </a:xfrm>
                        <a:prstGeom prst="rect">
                          <a:avLst/>
                        </a:prstGeom>
                        <a:noFill/>
                        <a:ln>
                          <a:noFill/>
                        </a:ln>
                      </wps:spPr>
                      <wps:txbx>
                        <w:txbxContent>
                          <w:p>
                            <w:pPr>
                              <w:rPr>
                                <w:szCs w:val="98"/>
                              </w:rPr>
                            </w:pPr>
                          </w:p>
                        </w:txbxContent>
                      </wps:txbx>
                      <wps:bodyPr wrap="square" lIns="0" tIns="0" rIns="0" bIns="0" upright="1"/>
                    </wps:wsp>
                  </a:graphicData>
                </a:graphic>
              </wp:anchor>
            </w:drawing>
          </mc:Choice>
          <mc:Fallback>
            <w:pict>
              <v:shape id="文本框 3" o:spid="_x0000_s1026" o:spt="202" type="#_x0000_t202" style="position:absolute;left:0pt;margin-left:-22.85pt;margin-top:136.15pt;height:13.6pt;width:481.6pt;mso-position-vertical-relative:page;z-index:-251656192;mso-width-relative:page;mso-height-relative:page;" filled="f" stroked="f" coordsize="21600,21600" o:gfxdata="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j2JnnbAAAACwEAAA8AAAAAAAAAAQAgAAAAIgAAAGRycy9kb3du&#10;cmV2LnhtbFBLAQIUABQAAAAIAIdO4kBWSUrkwwEAAIADAAAOAAAAAAAAAAEAIAAAACoBAABkcnMv&#10;ZTJvRG9jLnhtbFBLBQYAAAAABgAGAFkBAABfBQAAAAA=&#10;">
                <v:fill on="f" focussize="0,0"/>
                <v:stroke on="f"/>
                <v:imagedata o:title=""/>
                <o:lock v:ext="edit" aspectratio="f"/>
                <v:textbox inset="0mm,0mm,0mm,0mm">
                  <w:txbxContent>
                    <w:p>
                      <w:pPr>
                        <w:rPr>
                          <w:szCs w:val="98"/>
                        </w:rPr>
                      </w:pPr>
                    </w:p>
                  </w:txbxContent>
                </v:textbox>
              </v:shape>
            </w:pict>
          </mc:Fallback>
        </mc:AlternateContent>
      </w:r>
      <w:r>
        <w:rPr>
          <w:rFonts w:eastAsia="仿宋_GB2312"/>
        </w:rPr>
        <mc:AlternateContent>
          <mc:Choice Requires="wps">
            <w:drawing>
              <wp:anchor distT="0" distB="0" distL="113665" distR="113665" simplePos="0" relativeHeight="251659264" behindDoc="1" locked="0" layoutInCell="1" allowOverlap="1">
                <wp:simplePos x="0" y="0"/>
                <wp:positionH relativeFrom="column">
                  <wp:posOffset>56515</wp:posOffset>
                </wp:positionH>
                <wp:positionV relativeFrom="page">
                  <wp:posOffset>957580</wp:posOffset>
                </wp:positionV>
                <wp:extent cx="5246370" cy="5778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246370" cy="577850"/>
                        </a:xfrm>
                        <a:prstGeom prst="rect">
                          <a:avLst/>
                        </a:prstGeom>
                        <a:noFill/>
                        <a:ln>
                          <a:noFill/>
                        </a:ln>
                      </wps:spPr>
                      <wps:txbx>
                        <w:txbxContent>
                          <w:p>
                            <w:pPr>
                              <w:ind w:left="0" w:firstLine="0"/>
                              <w:rPr>
                                <w:szCs w:val="98"/>
                              </w:rPr>
                            </w:pPr>
                          </w:p>
                        </w:txbxContent>
                      </wps:txbx>
                      <wps:bodyPr wrap="square" lIns="0" tIns="0" rIns="0" bIns="0" upright="1"/>
                    </wps:wsp>
                  </a:graphicData>
                </a:graphic>
              </wp:anchor>
            </w:drawing>
          </mc:Choice>
          <mc:Fallback>
            <w:pict>
              <v:shape id="文本框 2" o:spid="_x0000_s1026" o:spt="202" type="#_x0000_t202" style="position:absolute;left:0pt;margin-left:4.45pt;margin-top:75.4pt;height:45.5pt;width:413.1pt;mso-position-vertical-relative:page;z-index:-251657216;mso-width-relative:page;mso-height-relative:page;" filled="f" stroked="f" coordsize="21600,21600" o:gfxdata="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fUXiD2AAAAAkBAAAPAAAAAAAAAAEAIAAAACIAAABkcnMvZG93bnJl&#10;di54bWxQSwECFAAUAAAACACHTuJAdS5EXsQBAACAAwAADgAAAAAAAAABACAAAAAnAQAAZHJzL2Uy&#10;b0RvYy54bWxQSwUGAAAAAAYABgBZAQAAXQUAAAAA&#10;">
                <v:fill on="f" focussize="0,0"/>
                <v:stroke on="f"/>
                <v:imagedata o:title=""/>
                <o:lock v:ext="edit" aspectratio="f"/>
                <v:textbox inset="0mm,0mm,0mm,0mm">
                  <w:txbxContent>
                    <w:p>
                      <w:pPr>
                        <w:ind w:left="0" w:firstLine="0"/>
                        <w:rPr>
                          <w:szCs w:val="98"/>
                        </w:rPr>
                      </w:pPr>
                    </w:p>
                  </w:txbxContent>
                </v:textbox>
              </v:shape>
            </w:pict>
          </mc:Fallback>
        </mc:AlternateContent>
      </w:r>
      <w:bookmarkStart w:id="0" w:name="_GoBack"/>
      <w:bookmarkEnd w:id="0"/>
      <w:r>
        <w:rPr>
          <w:rFonts w:hint="eastAsia" w:ascii="仿宋_GB2312" w:eastAsia="仿宋_GB2312"/>
          <w:szCs w:val="32"/>
        </w:rPr>
        <w:t xml:space="preserve"> </w:t>
      </w:r>
      <w:bookmarkStart w:id="1" w:name="content"/>
      <w:bookmarkEnd w:id="1"/>
    </w:p>
    <w:p>
      <w:pPr>
        <w:keepNext w:val="0"/>
        <w:keepLines w:val="0"/>
        <w:pageBreakBefore w:val="0"/>
        <w:widowControl w:val="0"/>
        <w:tabs>
          <w:tab w:val="left" w:pos="1943"/>
          <w:tab w:val="left" w:pos="3654"/>
        </w:tabs>
        <w:kinsoku/>
        <w:wordWrap/>
        <w:overflowPunct/>
        <w:topLinePunct w:val="0"/>
        <w:autoSpaceDE/>
        <w:autoSpaceDN/>
        <w:bidi w:val="0"/>
        <w:adjustRightInd w:val="0"/>
        <w:snapToGrid w:val="0"/>
        <w:spacing w:line="300" w:lineRule="auto"/>
        <w:jc w:val="center"/>
        <w:textAlignment w:val="auto"/>
        <w:rPr>
          <w:rFonts w:hint="eastAsia" w:ascii="仿宋_GB2312" w:eastAsia="仿宋_GB2312"/>
          <w:sz w:val="15"/>
          <w:szCs w:val="6"/>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小标宋简体" w:hAnsi="Calibri" w:eastAsia="方正小标宋简体" w:cs="Arial"/>
          <w:sz w:val="44"/>
          <w:szCs w:val="44"/>
          <w:lang w:val="en-US" w:eastAsia="zh-CN"/>
        </w:rPr>
      </w:pPr>
      <w:bookmarkStart w:id="2" w:name="dispatchname"/>
      <w:r>
        <w:rPr>
          <w:rFonts w:hint="eastAsia" w:ascii="方正小标宋简体" w:hAnsi="Calibri" w:eastAsia="方正小标宋简体" w:cs="Arial"/>
          <w:spacing w:val="-11"/>
          <w:sz w:val="44"/>
          <w:szCs w:val="44"/>
          <w:lang w:val="en-US" w:eastAsia="zh-CN"/>
        </w:rPr>
        <w:t>福建省生态环境厅　福建省发展和改革委员会</w:t>
      </w:r>
      <w:r>
        <w:rPr>
          <w:rFonts w:hint="eastAsia" w:ascii="方正小标宋简体" w:hAnsi="Calibri" w:eastAsia="方正小标宋简体" w:cs="Arial"/>
          <w:sz w:val="44"/>
          <w:szCs w:val="44"/>
          <w:lang w:val="en-US" w:eastAsia="zh-CN"/>
        </w:rPr>
        <w:t>　福建省工业和信息化厅　福建省财政厅</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小标宋简体" w:hAnsi="Calibri" w:eastAsia="方正小标宋简体" w:cs="Arial"/>
          <w:sz w:val="44"/>
          <w:szCs w:val="44"/>
          <w:lang w:val="en-US" w:eastAsia="zh-CN"/>
        </w:rPr>
      </w:pPr>
      <w:r>
        <w:rPr>
          <w:rFonts w:hint="eastAsia" w:ascii="方正小标宋简体" w:hAnsi="Calibri" w:eastAsia="方正小标宋简体" w:cs="Arial"/>
          <w:sz w:val="44"/>
          <w:szCs w:val="44"/>
          <w:lang w:val="en-US" w:eastAsia="zh-CN"/>
        </w:rPr>
        <w:t>关于印发《关于全面实施水泥行业</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小标宋简体" w:hAnsi="Calibri" w:eastAsia="方正小标宋简体" w:cs="Arial"/>
          <w:sz w:val="44"/>
          <w:szCs w:val="44"/>
          <w:lang w:val="en-US" w:eastAsia="zh-CN"/>
        </w:rPr>
      </w:pPr>
      <w:r>
        <w:rPr>
          <w:rFonts w:hint="eastAsia" w:ascii="方正小标宋简体" w:hAnsi="Calibri" w:eastAsia="方正小标宋简体" w:cs="Arial"/>
          <w:sz w:val="44"/>
          <w:szCs w:val="44"/>
          <w:lang w:val="en-US" w:eastAsia="zh-CN"/>
        </w:rPr>
        <w:t>超低排放改造的意见》的通知</w:t>
      </w:r>
      <w:bookmarkEnd w:id="2"/>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_GB2312" w:hAnsi="Calibri" w:eastAsia="仿宋_GB2312" w:cs="Arial"/>
          <w:sz w:val="21"/>
          <w:szCs w:val="21"/>
        </w:rPr>
      </w:pP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仿宋_GB2312" w:hAnsi="Calibri" w:eastAsia="仿宋_GB2312" w:cs="Arial"/>
          <w:sz w:val="31"/>
          <w:szCs w:val="32"/>
          <w:lang w:val="en-US" w:eastAsia="zh-CN"/>
        </w:rPr>
      </w:pPr>
      <w:bookmarkStart w:id="3" w:name="maindelivery"/>
      <w:r>
        <w:rPr>
          <w:rFonts w:hint="eastAsia" w:ascii="仿宋_GB2312" w:hAnsi="Calibri" w:eastAsia="仿宋_GB2312" w:cs="Arial"/>
          <w:sz w:val="31"/>
          <w:szCs w:val="32"/>
          <w:lang w:val="en-US" w:eastAsia="zh-CN"/>
        </w:rPr>
        <w:t>各设区市生态环境局、发改委、工信局、财政局，平潭综合实验区自然资源与生态环境局、经济发展局、财政金融局</w:t>
      </w:r>
      <w:bookmarkEnd w:id="3"/>
      <w:r>
        <w:rPr>
          <w:rFonts w:hint="eastAsia" w:ascii="仿宋_GB2312" w:hAnsi="Calibri" w:eastAsia="仿宋_GB2312" w:cs="Arial"/>
          <w:sz w:val="31"/>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仿宋_GB2312" w:hAnsi="Calibri" w:eastAsia="仿宋_GB2312" w:cs="Arial"/>
          <w:sz w:val="31"/>
          <w:szCs w:val="32"/>
          <w:lang w:val="en-US" w:eastAsia="zh-CN"/>
        </w:rPr>
      </w:pPr>
      <w:r>
        <w:rPr>
          <w:rFonts w:hint="eastAsia" w:ascii="仿宋_GB2312" w:hAnsi="Calibri" w:eastAsia="仿宋_GB2312" w:cs="Arial"/>
          <w:sz w:val="31"/>
          <w:szCs w:val="32"/>
          <w:lang w:val="en-US" w:eastAsia="zh-CN"/>
        </w:rPr>
        <w:t xml:space="preserve">    </w:t>
      </w:r>
      <w:bookmarkStart w:id="4" w:name="MainBody"/>
      <w:r>
        <w:rPr>
          <w:rFonts w:hint="eastAsia" w:ascii="仿宋_GB2312" w:hAnsi="Calibri" w:eastAsia="仿宋_GB2312" w:cs="Arial"/>
          <w:sz w:val="31"/>
          <w:szCs w:val="32"/>
          <w:lang w:val="en-US" w:eastAsia="zh-CN"/>
        </w:rPr>
        <w:t>现将《关于全面实施水泥行业超低排放改造的意见》印发你们，请认真组织实施。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Calibri" w:eastAsia="仿宋_GB2312" w:cs="Arial"/>
          <w:sz w:val="31"/>
          <w:szCs w:val="32"/>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Calibri" w:eastAsia="仿宋_GB2312" w:cs="Arial"/>
          <w:sz w:val="31"/>
          <w:szCs w:val="32"/>
        </w:rPr>
      </w:pPr>
    </w:p>
    <w:bookmarkEnd w:id="4"/>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Calibri" w:eastAsia="仿宋_GB2312" w:cs="Arial"/>
          <w:szCs w:val="32"/>
        </w:rPr>
      </w:pPr>
      <w:r>
        <w:rPr>
          <w:rFonts w:hint="eastAsia" w:ascii="仿宋_GB2312" w:hAnsi="Calibri" w:eastAsia="仿宋_GB2312" w:cs="Arial"/>
          <w:szCs w:val="32"/>
        </w:rPr>
        <w:t xml:space="preserve"> </w:t>
      </w:r>
    </w:p>
    <w:p>
      <w:pPr>
        <w:snapToGrid w:val="0"/>
        <w:spacing w:line="420" w:lineRule="auto"/>
        <w:jc w:val="both"/>
        <w:rPr>
          <w:rFonts w:hint="eastAsia" w:ascii="仿宋_GB2312" w:hAnsi="Calibri" w:eastAsia="仿宋_GB2312" w:cs="Times New Roman"/>
          <w:szCs w:val="32"/>
          <w:lang w:eastAsia="zh-CN" w:bidi="ar-SA"/>
        </w:rPr>
      </w:pPr>
      <w:r>
        <w:rPr>
          <w:rFonts w:hint="eastAsia" w:ascii="仿宋_GB2312" w:hAnsi="Calibri" w:eastAsia="仿宋_GB2312" w:cs="Times New Roman"/>
          <w:szCs w:val="32"/>
          <w:lang w:eastAsia="zh-CN" w:bidi="ar-SA"/>
        </w:rPr>
        <w:t>　　</w:t>
      </w:r>
      <w:r>
        <w:rPr>
          <w:rFonts w:hint="eastAsia" w:ascii="仿宋_GB2312" w:hAnsi="Calibri" w:eastAsia="仿宋_GB2312" w:cs="Times New Roman"/>
          <w:szCs w:val="32"/>
          <w:lang w:bidi="ar-SA"/>
        </w:rPr>
        <w:t xml:space="preserve"> 福建省生态环境厅</w:t>
      </w:r>
      <w:r>
        <w:rPr>
          <w:rFonts w:hint="eastAsia" w:ascii="仿宋_GB2312" w:hAnsi="Calibri" w:eastAsia="仿宋_GB2312" w:cs="Times New Roman"/>
          <w:szCs w:val="32"/>
          <w:lang w:eastAsia="zh-CN" w:bidi="ar-SA"/>
        </w:rPr>
        <w:t>　　　　福建省发展和改革委员会</w:t>
      </w:r>
    </w:p>
    <w:p>
      <w:pPr>
        <w:snapToGrid w:val="0"/>
        <w:spacing w:line="420" w:lineRule="auto"/>
        <w:jc w:val="both"/>
        <w:rPr>
          <w:rFonts w:hint="eastAsia" w:ascii="仿宋_GB2312" w:hAnsi="Calibri" w:eastAsia="仿宋_GB2312" w:cs="Times New Roman"/>
          <w:szCs w:val="32"/>
          <w:lang w:eastAsia="zh-CN" w:bidi="ar-SA"/>
        </w:rPr>
      </w:pPr>
    </w:p>
    <w:p>
      <w:pPr>
        <w:snapToGrid w:val="0"/>
        <w:spacing w:line="420" w:lineRule="auto"/>
        <w:jc w:val="both"/>
        <w:rPr>
          <w:rFonts w:hint="eastAsia" w:ascii="仿宋_GB2312" w:hAnsi="Calibri" w:eastAsia="仿宋_GB2312" w:cs="Times New Roman"/>
          <w:szCs w:val="32"/>
          <w:lang w:eastAsia="zh-CN" w:bidi="ar-SA"/>
        </w:rPr>
      </w:pPr>
    </w:p>
    <w:p>
      <w:pPr>
        <w:snapToGrid w:val="0"/>
        <w:spacing w:line="420" w:lineRule="auto"/>
        <w:jc w:val="both"/>
        <w:rPr>
          <w:rFonts w:hint="eastAsia" w:ascii="仿宋_GB2312" w:hAnsi="Calibri" w:eastAsia="仿宋_GB2312" w:cs="Times New Roman"/>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auto"/>
        <w:ind w:firstLine="640"/>
        <w:jc w:val="both"/>
        <w:textAlignment w:val="auto"/>
        <w:rPr>
          <w:rFonts w:hint="eastAsia" w:ascii="仿宋_GB2312" w:hAnsi="Calibri" w:eastAsia="仿宋_GB2312" w:cs="Times New Roman"/>
          <w:szCs w:val="32"/>
          <w:lang w:eastAsia="zh-CN" w:bidi="ar-SA"/>
        </w:rPr>
      </w:pPr>
      <w:r>
        <w:rPr>
          <w:rFonts w:hint="eastAsia" w:ascii="仿宋_GB2312" w:hAnsi="Calibri" w:eastAsia="仿宋_GB2312" w:cs="Times New Roman"/>
          <w:szCs w:val="32"/>
          <w:lang w:eastAsia="zh-CN" w:bidi="ar-SA"/>
        </w:rPr>
        <w:t>福建省工业和信息化厅　　　　　</w:t>
      </w:r>
      <w:r>
        <w:rPr>
          <w:rFonts w:hint="eastAsia" w:ascii="仿宋_GB2312" w:hAnsi="Calibri" w:cs="Times New Roman"/>
          <w:sz w:val="21"/>
          <w:szCs w:val="21"/>
          <w:lang w:val="en-US" w:eastAsia="zh-CN" w:bidi="ar-SA"/>
        </w:rPr>
        <w:t xml:space="preserve"> </w:t>
      </w:r>
      <w:r>
        <w:rPr>
          <w:rFonts w:hint="eastAsia" w:ascii="仿宋_GB2312" w:hAnsi="Calibri" w:eastAsia="仿宋_GB2312" w:cs="Times New Roman"/>
          <w:szCs w:val="32"/>
          <w:lang w:eastAsia="zh-CN" w:bidi="ar-SA"/>
        </w:rPr>
        <w:t>福建省财政厅</w:t>
      </w:r>
    </w:p>
    <w:p>
      <w:pPr>
        <w:keepNext w:val="0"/>
        <w:keepLines w:val="0"/>
        <w:pageBreakBefore w:val="0"/>
        <w:widowControl w:val="0"/>
        <w:tabs>
          <w:tab w:val="left" w:pos="4480"/>
          <w:tab w:val="left" w:pos="7175"/>
        </w:tabs>
        <w:kinsoku/>
        <w:wordWrap/>
        <w:overflowPunct/>
        <w:topLinePunct w:val="0"/>
        <w:autoSpaceDE/>
        <w:autoSpaceDN/>
        <w:bidi w:val="0"/>
        <w:adjustRightInd w:val="0"/>
        <w:snapToGrid w:val="0"/>
        <w:spacing w:line="420" w:lineRule="auto"/>
        <w:ind w:firstLine="320" w:firstLineChars="100"/>
        <w:textAlignment w:val="auto"/>
        <w:rPr>
          <w:rFonts w:hint="eastAsia" w:ascii="仿宋_GB2312" w:hAnsi="Calibri" w:eastAsia="仿宋_GB2312" w:cs="Times New Roman"/>
          <w:szCs w:val="32"/>
          <w:lang w:bidi="ar-SA"/>
        </w:rPr>
      </w:pPr>
      <w:r>
        <w:rPr>
          <w:rFonts w:hint="eastAsia" w:ascii="仿宋_GB2312" w:hAnsi="Calibri" w:eastAsia="仿宋_GB2312" w:cs="Times New Roman"/>
          <w:szCs w:val="32"/>
          <w:lang w:bidi="ar-SA"/>
        </w:rPr>
        <w:t xml:space="preserve">                             </w:t>
      </w:r>
      <w:r>
        <w:rPr>
          <w:rFonts w:hint="eastAsia" w:ascii="仿宋_GB2312" w:hAnsi="Calibri" w:cs="Times New Roman"/>
          <w:szCs w:val="32"/>
          <w:lang w:val="en-US" w:eastAsia="zh-CN" w:bidi="ar-SA"/>
        </w:rPr>
        <w:t xml:space="preserve">  </w:t>
      </w:r>
      <w:r>
        <w:rPr>
          <w:rFonts w:hint="eastAsia" w:ascii="仿宋_GB2312" w:hAnsi="Calibri" w:eastAsia="仿宋_GB2312" w:cs="Times New Roman"/>
          <w:szCs w:val="32"/>
          <w:lang w:bidi="ar-SA"/>
        </w:rPr>
        <w:t>202</w:t>
      </w:r>
      <w:r>
        <w:rPr>
          <w:rFonts w:hint="eastAsia" w:ascii="仿宋_GB2312" w:hAnsi="Calibri" w:eastAsia="仿宋_GB2312" w:cs="Times New Roman"/>
          <w:szCs w:val="32"/>
          <w:lang w:val="en-US" w:eastAsia="zh-CN" w:bidi="ar-SA"/>
        </w:rPr>
        <w:t>3</w:t>
      </w:r>
      <w:r>
        <w:rPr>
          <w:rFonts w:hint="eastAsia" w:ascii="仿宋_GB2312" w:hAnsi="Calibri" w:eastAsia="仿宋_GB2312" w:cs="Times New Roman"/>
          <w:szCs w:val="32"/>
          <w:lang w:bidi="ar-SA"/>
        </w:rPr>
        <w:t>年</w:t>
      </w:r>
      <w:r>
        <w:rPr>
          <w:rFonts w:hint="eastAsia" w:ascii="仿宋_GB2312" w:hAnsi="Calibri" w:eastAsia="仿宋_GB2312" w:cs="Times New Roman"/>
          <w:szCs w:val="32"/>
          <w:lang w:val="en-US" w:eastAsia="zh-CN" w:bidi="ar-SA"/>
        </w:rPr>
        <w:t>6</w:t>
      </w:r>
      <w:r>
        <w:rPr>
          <w:rFonts w:hint="eastAsia" w:ascii="仿宋_GB2312" w:hAnsi="Calibri" w:eastAsia="仿宋_GB2312" w:cs="Times New Roman"/>
          <w:szCs w:val="32"/>
          <w:lang w:bidi="ar-SA"/>
        </w:rPr>
        <w:t>月</w:t>
      </w:r>
      <w:r>
        <w:rPr>
          <w:rFonts w:hint="eastAsia" w:ascii="仿宋_GB2312" w:hAnsi="Calibri" w:cs="Times New Roman"/>
          <w:szCs w:val="32"/>
          <w:lang w:val="en-US" w:eastAsia="zh-CN" w:bidi="ar-SA"/>
        </w:rPr>
        <w:t>12</w:t>
      </w:r>
      <w:r>
        <w:rPr>
          <w:rFonts w:hint="eastAsia" w:ascii="仿宋_GB2312" w:hAnsi="Calibri" w:eastAsia="仿宋_GB2312" w:cs="Times New Roman"/>
          <w:szCs w:val="32"/>
          <w:lang w:bidi="ar-SA"/>
        </w:rPr>
        <w:t>日</w:t>
      </w:r>
    </w:p>
    <w:p>
      <w:pPr>
        <w:keepNext w:val="0"/>
        <w:keepLines w:val="0"/>
        <w:pageBreakBefore w:val="0"/>
        <w:widowControl w:val="0"/>
        <w:kinsoku/>
        <w:wordWrap/>
        <w:overflowPunct/>
        <w:topLinePunct w:val="0"/>
        <w:autoSpaceDE/>
        <w:autoSpaceDN/>
        <w:bidi w:val="0"/>
        <w:adjustRightInd w:val="0"/>
        <w:snapToGrid w:val="0"/>
        <w:spacing w:line="420" w:lineRule="auto"/>
        <w:ind w:firstLine="640" w:firstLineChars="200"/>
        <w:textAlignment w:val="auto"/>
        <w:rPr>
          <w:rFonts w:hint="eastAsia" w:ascii="仿宋_GB2312" w:hAnsi="Calibri" w:eastAsia="仿宋_GB2312" w:cs="Arial"/>
          <w:szCs w:val="32"/>
        </w:rPr>
      </w:pPr>
      <w:r>
        <w:rPr>
          <w:rFonts w:hint="eastAsia" w:ascii="仿宋_GB2312" w:hAnsi="Calibri" w:eastAsia="仿宋_GB2312" w:cs="仿宋_GB2312"/>
          <w:szCs w:val="32"/>
          <w:lang w:bidi="ar-SA"/>
        </w:rPr>
        <w:t>（此件</w:t>
      </w:r>
      <w:bookmarkStart w:id="5" w:name="Publicpropertyid"/>
      <w:r>
        <w:rPr>
          <w:rFonts w:hint="eastAsia" w:ascii="仿宋_GB2312" w:hAnsi="Calibri" w:eastAsia="仿宋_GB2312" w:cs="仿宋_GB2312"/>
          <w:szCs w:val="32"/>
          <w:lang w:eastAsia="zh-CN" w:bidi="ar-SA"/>
        </w:rPr>
        <w:t>主动公开</w:t>
      </w:r>
      <w:bookmarkEnd w:id="5"/>
      <w:r>
        <w:rPr>
          <w:rFonts w:hint="eastAsia" w:ascii="仿宋_GB2312" w:hAnsi="Calibri" w:eastAsia="仿宋_GB2312" w:cs="仿宋_GB2312"/>
          <w:szCs w:val="32"/>
          <w:lang w:bidi="ar-SA"/>
        </w:rPr>
        <w:t>）</w:t>
      </w:r>
    </w:p>
    <w:p>
      <w:pPr>
        <w:spacing w:line="480" w:lineRule="auto"/>
        <w:rPr>
          <w:rFonts w:hint="eastAsia" w:ascii="仿宋_GB2312" w:hAnsi="Calibri" w:eastAsia="仿宋_GB2312" w:cs="宋体"/>
          <w:szCs w:val="32"/>
          <w:lang w:val="zh-TW" w:eastAsia="zh-TW" w:bidi="ar-SA"/>
        </w:rPr>
      </w:pPr>
    </w:p>
    <w:p>
      <w:pPr>
        <w:adjustRightInd w:val="0"/>
        <w:snapToGrid w:val="0"/>
        <w:spacing w:line="360" w:lineRule="auto"/>
        <w:ind w:firstLine="640" w:firstLineChars="200"/>
        <w:rPr>
          <w:rFonts w:hint="eastAsia" w:ascii="仿宋_GB2312" w:hAnsi="Calibri" w:eastAsia="仿宋_GB2312" w:cs="Arial"/>
          <w:snapToGrid/>
          <w:color w:val="auto"/>
          <w:spacing w:val="0"/>
          <w:w w:val="100"/>
          <w:kern w:val="2"/>
          <w:position w:val="0"/>
          <w:sz w:val="32"/>
          <w:szCs w:val="32"/>
          <w:u w:val="none" w:color="auto"/>
          <w:vertAlign w:val="baseline"/>
          <w:lang w:bidi="ar-SA"/>
        </w:rPr>
      </w:pPr>
    </w:p>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spacing w:line="420" w:lineRule="auto"/>
        <w:ind w:left="0"/>
        <w:rPr>
          <w:rFonts w:ascii="Calibri" w:hAnsi="Calibri" w:eastAsia="仿宋" w:cs="Arial"/>
          <w:sz w:val="28"/>
          <w:szCs w:val="20"/>
        </w:rPr>
      </w:pPr>
    </w:p>
    <w:p>
      <w:pPr>
        <w:keepNext w:val="0"/>
        <w:keepLines w:val="0"/>
        <w:pageBreakBefore w:val="0"/>
        <w:widowControl w:val="0"/>
        <w:kinsoku/>
        <w:wordWrap/>
        <w:overflowPunct/>
        <w:topLinePunct w:val="0"/>
        <w:autoSpaceDE/>
        <w:autoSpaceDN w:val="0"/>
        <w:bidi w:val="0"/>
        <w:adjustRightInd w:val="0"/>
        <w:snapToGrid w:val="0"/>
        <w:spacing w:line="300" w:lineRule="auto"/>
        <w:ind w:left="0"/>
        <w:textAlignment w:val="auto"/>
        <w:rPr>
          <w:rFonts w:ascii="Calibri" w:hAnsi="Calibri" w:eastAsia="仿宋" w:cs="Arial"/>
          <w:sz w:val="28"/>
          <w:szCs w:val="20"/>
        </w:rPr>
      </w:pPr>
    </w:p>
    <w:p>
      <w:pPr>
        <w:keepNext w:val="0"/>
        <w:keepLines w:val="0"/>
        <w:pageBreakBefore w:val="0"/>
        <w:widowControl w:val="0"/>
        <w:suppressLineNumbers w:val="0"/>
        <w:suppressAutoHyphens/>
        <w:kinsoku/>
        <w:wordWrap/>
        <w:overflowPunct/>
        <w:topLinePunct w:val="0"/>
        <w:autoSpaceDE/>
        <w:autoSpaceDN w:val="0"/>
        <w:bidi w:val="0"/>
        <w:adjustRightInd w:val="0"/>
        <w:snapToGrid w:val="0"/>
        <w:spacing w:before="0" w:beforeAutospacing="0" w:after="0" w:afterAutospacing="0" w:line="300" w:lineRule="auto"/>
        <w:ind w:left="0" w:right="0" w:firstLine="0"/>
        <w:jc w:val="center"/>
        <w:textAlignment w:val="auto"/>
        <w:outlineLvl w:val="9"/>
        <w:rPr>
          <w:rFonts w:ascii="Calibri" w:hAnsi="Calibri" w:eastAsia="仿宋" w:cs="Arial"/>
          <w:szCs w:val="22"/>
        </w:rPr>
      </w:pPr>
      <w:r>
        <w:rPr>
          <w:rFonts w:ascii="方正小标宋简体" w:hAnsi="方正小标宋简体" w:eastAsia="方正小标宋简体" w:cs="方正小标宋简体"/>
          <w:b w:val="0"/>
          <w:bCs w:val="0"/>
          <w:caps w:val="0"/>
          <w:color w:val="000000"/>
          <w:spacing w:val="0"/>
          <w:kern w:val="2"/>
          <w:sz w:val="44"/>
          <w:szCs w:val="44"/>
          <w:vertAlign w:val="baseline"/>
          <w:lang w:val="en-US" w:eastAsia="zh-CN" w:bidi="ar"/>
        </w:rPr>
        <w:t>关于全面实施水泥行业超低排放改造的意见</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00" w:lineRule="auto"/>
        <w:ind w:left="0" w:right="0" w:firstLine="440" w:firstLineChars="200"/>
        <w:jc w:val="both"/>
        <w:textAlignment w:val="auto"/>
        <w:outlineLvl w:val="9"/>
        <w:rPr>
          <w:rFonts w:ascii="仿宋_GB2312" w:hAnsi="Calibri" w:eastAsia="仿宋_GB2312" w:cs="仿宋_GB2312"/>
          <w:b w:val="0"/>
          <w:bCs w:val="0"/>
          <w:caps w:val="0"/>
          <w:color w:val="auto"/>
          <w:kern w:val="2"/>
          <w:sz w:val="22"/>
          <w:szCs w:val="2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仿宋_GB2312" w:hAnsi="Calibri" w:eastAsia="仿宋_GB2312" w:cs="仿宋_GB2312"/>
          <w:caps w:val="0"/>
          <w:color w:val="auto"/>
          <w:sz w:val="32"/>
          <w:szCs w:val="32"/>
          <w:vertAlign w:val="baseline"/>
        </w:rPr>
      </w:pPr>
      <w:r>
        <w:rPr>
          <w:rFonts w:ascii="仿宋_GB2312" w:hAnsi="Calibri" w:eastAsia="仿宋_GB2312" w:cs="仿宋_GB2312"/>
          <w:b w:val="0"/>
          <w:bCs w:val="0"/>
          <w:caps w:val="0"/>
          <w:color w:val="auto"/>
          <w:kern w:val="2"/>
          <w:sz w:val="32"/>
          <w:szCs w:val="32"/>
          <w:vertAlign w:val="baseline"/>
          <w:lang w:val="en-US" w:eastAsia="zh-CN" w:bidi="ar"/>
        </w:rPr>
        <w:t>实施水泥行业超低排放是推动行业高质量发展、促进产业转型升级、助力深入打好蓝天保卫战的重要举措。为</w:t>
      </w:r>
      <w:r>
        <w:rPr>
          <w:rFonts w:hint="eastAsia" w:ascii="仿宋_GB2312" w:hAnsi="Calibri" w:eastAsia="仿宋_GB2312" w:cs="仿宋_GB2312"/>
          <w:b w:val="0"/>
          <w:bCs w:val="0"/>
          <w:caps w:val="0"/>
          <w:color w:val="auto"/>
          <w:kern w:val="2"/>
          <w:sz w:val="32"/>
          <w:szCs w:val="32"/>
          <w:vertAlign w:val="baseline"/>
          <w:lang w:val="en-US" w:eastAsia="zh-CN" w:bidi="ar"/>
        </w:rPr>
        <w:t>贯彻</w:t>
      </w:r>
      <w:r>
        <w:rPr>
          <w:rFonts w:ascii="仿宋_GB2312" w:hAnsi="Calibri" w:eastAsia="仿宋_GB2312" w:cs="仿宋_GB2312"/>
          <w:b w:val="0"/>
          <w:bCs w:val="0"/>
          <w:caps w:val="0"/>
          <w:color w:val="auto"/>
          <w:kern w:val="2"/>
          <w:sz w:val="32"/>
          <w:szCs w:val="32"/>
          <w:vertAlign w:val="baseline"/>
          <w:lang w:val="en-US" w:eastAsia="zh-CN" w:bidi="ar"/>
        </w:rPr>
        <w:t>落实《</w:t>
      </w:r>
      <w:r>
        <w:rPr>
          <w:rFonts w:hint="eastAsia" w:ascii="仿宋_GB2312" w:hAnsi="Calibri" w:eastAsia="仿宋_GB2312" w:cs="仿宋_GB2312"/>
          <w:b w:val="0"/>
          <w:bCs w:val="0"/>
          <w:caps w:val="0"/>
          <w:color w:val="auto"/>
          <w:kern w:val="2"/>
          <w:sz w:val="32"/>
          <w:szCs w:val="32"/>
          <w:vertAlign w:val="baseline"/>
          <w:lang w:val="en-US" w:eastAsia="zh-CN" w:bidi="ar"/>
        </w:rPr>
        <w:t>深入打好福建省重污染天气消除、臭氧污染防治和柴油货车污染治理攻坚战行动方案》有关要求，高质量推进水泥行业超低排放改造，提出以下意见。</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黑体" w:hAnsi="宋体" w:eastAsia="黑体" w:cs="黑体"/>
          <w:caps w:val="0"/>
          <w:color w:val="auto"/>
          <w:kern w:val="0"/>
          <w:sz w:val="32"/>
          <w:szCs w:val="32"/>
          <w:vertAlign w:val="baseline"/>
        </w:rPr>
      </w:pPr>
      <w:r>
        <w:rPr>
          <w:rFonts w:ascii="黑体" w:hAnsi="宋体" w:eastAsia="黑体" w:cs="黑体"/>
          <w:b w:val="0"/>
          <w:bCs w:val="0"/>
          <w:caps w:val="0"/>
          <w:color w:val="auto"/>
          <w:kern w:val="0"/>
          <w:sz w:val="32"/>
          <w:szCs w:val="32"/>
          <w:vertAlign w:val="baseline"/>
          <w:lang w:val="en-US" w:eastAsia="zh-CN" w:bidi="ar"/>
        </w:rPr>
        <w:t>一、总体要求</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以习近平新时代中国特色社会主义思想为指导，全面贯彻落实党的二十大精神，深入践行习近平生态文明思想，坚持减污降碳协同增效，按照“源头削减、过程控制、末端治理”原则，突出重点、分类施策、分步推进，实施水泥行业全工序、全流程超低排放改造，切实减少大气污染物排放，促进水泥行业高质量发展，推动空气质量持续改善。</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黑体" w:hAnsi="宋体" w:eastAsia="黑体" w:cs="黑体"/>
          <w:caps w:val="0"/>
          <w:color w:val="auto"/>
          <w:kern w:val="0"/>
          <w:sz w:val="32"/>
          <w:szCs w:val="32"/>
          <w:vertAlign w:val="baseline"/>
        </w:rPr>
      </w:pPr>
      <w:r>
        <w:rPr>
          <w:rFonts w:hint="eastAsia" w:ascii="黑体" w:hAnsi="宋体" w:eastAsia="黑体" w:cs="黑体"/>
          <w:b w:val="0"/>
          <w:bCs w:val="0"/>
          <w:caps w:val="0"/>
          <w:color w:val="auto"/>
          <w:kern w:val="0"/>
          <w:sz w:val="32"/>
          <w:szCs w:val="32"/>
          <w:vertAlign w:val="baseline"/>
          <w:lang w:val="en-US" w:eastAsia="zh-CN" w:bidi="ar"/>
        </w:rPr>
        <w:t>二、主要目标</w:t>
      </w:r>
    </w:p>
    <w:p>
      <w:pPr>
        <w:keepNext w:val="0"/>
        <w:keepLines w:val="0"/>
        <w:pageBreakBefore w:val="0"/>
        <w:widowControl w:val="0"/>
        <w:suppressLineNumbers w:val="0"/>
        <w:suppressAutoHyphens/>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水泥行业超低排放实施范围包括水泥熟料生产企业和独立水泥粉磨站（含生产特种水泥、协同处置固废的水泥企业）。新改扩建（含搬迁）水泥项目要达到超低排放水平，鼓励2500吨/日新型干法窑“上大压小”，改造为5000吨/日及以上，同步达到超低排放水平。推动现有企业超低排放改造，</w:t>
      </w:r>
      <w:r>
        <w:rPr>
          <w:rFonts w:hint="eastAsia" w:ascii="仿宋_GB2312" w:hAnsi="Calibri" w:eastAsia="仿宋_GB2312" w:cs="仿宋_GB2312"/>
          <w:b/>
          <w:bCs/>
          <w:caps w:val="0"/>
          <w:color w:val="auto"/>
          <w:kern w:val="2"/>
          <w:sz w:val="32"/>
          <w:szCs w:val="32"/>
          <w:vertAlign w:val="baseline"/>
          <w:lang w:val="en-US" w:eastAsia="zh-CN" w:bidi="ar"/>
        </w:rPr>
        <w:t>2023年底前，</w:t>
      </w:r>
      <w:r>
        <w:rPr>
          <w:rFonts w:hint="eastAsia" w:ascii="仿宋_GB2312" w:hAnsi="Calibri" w:eastAsia="仿宋_GB2312" w:cs="仿宋_GB2312"/>
          <w:b w:val="0"/>
          <w:bCs w:val="0"/>
          <w:caps w:val="0"/>
          <w:color w:val="auto"/>
          <w:kern w:val="2"/>
          <w:sz w:val="32"/>
          <w:szCs w:val="32"/>
          <w:vertAlign w:val="baseline"/>
          <w:lang w:val="en-US" w:eastAsia="zh-CN" w:bidi="ar"/>
        </w:rPr>
        <w:t>力争龙头企业5000吨/日及以上新型干法窑有组织排放基本完成改造；</w:t>
      </w:r>
      <w:r>
        <w:rPr>
          <w:rFonts w:hint="eastAsia" w:ascii="仿宋_GB2312" w:hAnsi="Calibri" w:eastAsia="仿宋_GB2312" w:cs="仿宋_GB2312"/>
          <w:b/>
          <w:bCs/>
          <w:caps w:val="0"/>
          <w:color w:val="auto"/>
          <w:kern w:val="2"/>
          <w:sz w:val="32"/>
          <w:szCs w:val="32"/>
          <w:vertAlign w:val="baseline"/>
          <w:lang w:val="en-US" w:eastAsia="zh-CN" w:bidi="ar"/>
        </w:rPr>
        <w:t>2024年底前，</w:t>
      </w:r>
      <w:r>
        <w:rPr>
          <w:rFonts w:hint="eastAsia" w:ascii="仿宋_GB2312" w:hAnsi="Calibri" w:eastAsia="仿宋_GB2312" w:cs="仿宋_GB2312"/>
          <w:b w:val="0"/>
          <w:bCs w:val="0"/>
          <w:caps w:val="0"/>
          <w:color w:val="auto"/>
          <w:kern w:val="2"/>
          <w:sz w:val="32"/>
          <w:szCs w:val="32"/>
          <w:vertAlign w:val="baseline"/>
          <w:lang w:val="en-US" w:eastAsia="zh-CN" w:bidi="ar"/>
        </w:rPr>
        <w:t>力争重点地区（三明三元、永安，龙岩新罗）所有熟料生产线，其他地区5000吨/日及以上熟料生产线,全省100万吨/年以上</w:t>
      </w:r>
      <w:r>
        <w:rPr>
          <w:rFonts w:hint="eastAsia" w:ascii="仿宋_GB2312" w:hAnsi="Calibri" w:eastAsia="仿宋_GB2312" w:cs="仿宋_GB2312"/>
          <w:b w:val="0"/>
          <w:bCs w:val="0"/>
          <w:caps w:val="0"/>
          <w:color w:val="auto"/>
          <w:kern w:val="2"/>
          <w:sz w:val="32"/>
          <w:szCs w:val="32"/>
          <w:u w:val="none"/>
          <w:vertAlign w:val="baseline"/>
          <w:lang w:val="en-US" w:eastAsia="zh-CN" w:bidi="ar"/>
        </w:rPr>
        <w:t>独立水泥粉磨站</w:t>
      </w:r>
      <w:r>
        <w:rPr>
          <w:rFonts w:hint="eastAsia" w:ascii="仿宋_GB2312" w:hAnsi="Calibri" w:eastAsia="仿宋_GB2312" w:cs="仿宋_GB2312"/>
          <w:b w:val="0"/>
          <w:bCs w:val="0"/>
          <w:caps w:val="0"/>
          <w:color w:val="auto"/>
          <w:kern w:val="2"/>
          <w:sz w:val="32"/>
          <w:szCs w:val="32"/>
          <w:vertAlign w:val="baseline"/>
          <w:lang w:val="en-US" w:eastAsia="zh-CN" w:bidi="ar"/>
        </w:rPr>
        <w:t>有组织排放，以及龙头企业5000吨/日及以上新型干法窑无组织排放基本完成改造；</w:t>
      </w:r>
      <w:r>
        <w:rPr>
          <w:rFonts w:hint="eastAsia" w:ascii="仿宋_GB2312" w:hAnsi="Calibri" w:eastAsia="仿宋_GB2312" w:cs="仿宋_GB2312"/>
          <w:b/>
          <w:bCs/>
          <w:caps w:val="0"/>
          <w:color w:val="auto"/>
          <w:kern w:val="2"/>
          <w:sz w:val="32"/>
          <w:szCs w:val="32"/>
          <w:vertAlign w:val="baseline"/>
          <w:lang w:val="en-US" w:eastAsia="zh-CN" w:bidi="ar"/>
        </w:rPr>
        <w:t>2025年底前，</w:t>
      </w:r>
      <w:r>
        <w:rPr>
          <w:rFonts w:hint="eastAsia" w:ascii="仿宋_GB2312" w:hAnsi="Calibri" w:eastAsia="仿宋_GB2312" w:cs="仿宋_GB2312"/>
          <w:b w:val="0"/>
          <w:bCs w:val="0"/>
          <w:caps w:val="0"/>
          <w:color w:val="auto"/>
          <w:kern w:val="2"/>
          <w:sz w:val="32"/>
          <w:szCs w:val="32"/>
          <w:vertAlign w:val="baseline"/>
          <w:lang w:val="en-US" w:eastAsia="zh-CN" w:bidi="ar"/>
        </w:rPr>
        <w:t>水泥熟料企业、独立水泥粉磨站有组织排放、无组织排放、清洁运输全面完成超低排放改造。</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黑体" w:hAnsi="宋体" w:eastAsia="黑体" w:cs="黑体"/>
          <w:caps w:val="0"/>
          <w:color w:val="auto"/>
          <w:kern w:val="0"/>
          <w:sz w:val="32"/>
          <w:szCs w:val="32"/>
          <w:vertAlign w:val="baseline"/>
        </w:rPr>
      </w:pPr>
      <w:r>
        <w:rPr>
          <w:rFonts w:hint="eastAsia" w:ascii="黑体" w:hAnsi="宋体" w:eastAsia="黑体" w:cs="黑体"/>
          <w:b w:val="0"/>
          <w:bCs w:val="0"/>
          <w:caps w:val="0"/>
          <w:color w:val="auto"/>
          <w:kern w:val="0"/>
          <w:sz w:val="32"/>
          <w:szCs w:val="32"/>
          <w:vertAlign w:val="baseline"/>
          <w:lang w:val="en-US" w:eastAsia="zh-CN" w:bidi="ar"/>
        </w:rPr>
        <w:t>三、指标要求</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仿宋_GB2312" w:hAnsi="Calibri" w:eastAsia="仿宋_GB2312" w:cs="仿宋_GB2312"/>
          <w:b w:val="0"/>
          <w:bCs w:val="0"/>
          <w:caps w:val="0"/>
          <w:color w:val="000000"/>
          <w:kern w:val="0"/>
          <w:sz w:val="32"/>
          <w:szCs w:val="32"/>
          <w:vertAlign w:val="baseline"/>
          <w:lang w:val="en-US" w:eastAsia="zh-CN" w:bidi="ar"/>
        </w:rPr>
      </w:pPr>
      <w:r>
        <w:rPr>
          <w:rFonts w:hint="eastAsia" w:ascii="仿宋_GB2312" w:hAnsi="Calibri" w:eastAsia="仿宋_GB2312" w:cs="仿宋_GB2312"/>
          <w:b w:val="0"/>
          <w:bCs w:val="0"/>
          <w:caps w:val="0"/>
          <w:color w:val="000000"/>
          <w:kern w:val="0"/>
          <w:sz w:val="32"/>
          <w:szCs w:val="32"/>
          <w:vertAlign w:val="baseline"/>
          <w:lang w:val="en-US" w:eastAsia="zh-CN" w:bidi="ar"/>
        </w:rPr>
        <w:t>水泥企业超低排放是指所有生产环节（破碎、粉磨、配料、熟料煅烧、烘干、协同处置等，以及原料、燃料和产品储存运输）的大气污染物有组织、无组织排放及运输过程达到超低排放要求。</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b w:val="0"/>
          <w:bCs w:val="0"/>
          <w:caps w:val="0"/>
          <w:color w:val="000000"/>
          <w:kern w:val="0"/>
          <w:sz w:val="32"/>
          <w:szCs w:val="32"/>
          <w:vertAlign w:val="baseline"/>
          <w:lang w:val="en-US" w:eastAsia="zh-CN" w:bidi="ar"/>
        </w:rPr>
      </w:pPr>
      <w:r>
        <w:rPr>
          <w:rFonts w:ascii="楷体_GB2312" w:hAnsi="Calibri" w:eastAsia="楷体_GB2312" w:cs="楷体_GB2312"/>
          <w:b/>
          <w:bCs/>
          <w:caps w:val="0"/>
          <w:color w:val="auto"/>
          <w:kern w:val="2"/>
          <w:sz w:val="32"/>
          <w:szCs w:val="32"/>
          <w:vertAlign w:val="baseline"/>
          <w:lang w:val="en-US" w:eastAsia="zh-CN" w:bidi="ar"/>
        </w:rPr>
        <w:t>（一）有组织排放控制指标。</w:t>
      </w:r>
      <w:r>
        <w:rPr>
          <w:rFonts w:hint="eastAsia" w:ascii="仿宋_GB2312" w:hAnsi="Calibri" w:eastAsia="仿宋_GB2312" w:cs="仿宋_GB2312"/>
          <w:b w:val="0"/>
          <w:bCs w:val="0"/>
          <w:caps w:val="0"/>
          <w:color w:val="000000"/>
          <w:kern w:val="0"/>
          <w:sz w:val="32"/>
          <w:szCs w:val="32"/>
          <w:vertAlign w:val="baseline"/>
          <w:lang w:val="en-US" w:eastAsia="zh-CN" w:bidi="ar"/>
        </w:rPr>
        <w:t>在基准氧含量10%的条件下，水泥窑及窑尾余热利用系统烟气颗粒物、二氧化硫、氮氧化物排放浓度小时均值分别不高于10、35、50mg/m</w:t>
      </w:r>
      <w:r>
        <w:rPr>
          <w:rFonts w:hint="eastAsia" w:ascii="仿宋_GB2312" w:hAnsi="Calibri" w:eastAsia="仿宋_GB2312" w:cs="仿宋_GB2312"/>
          <w:b w:val="0"/>
          <w:bCs w:val="0"/>
          <w:caps w:val="0"/>
          <w:color w:val="000000"/>
          <w:kern w:val="0"/>
          <w:sz w:val="32"/>
          <w:szCs w:val="32"/>
          <w:vertAlign w:val="superscript"/>
          <w:lang w:val="en-US" w:eastAsia="zh-CN" w:bidi="ar"/>
        </w:rPr>
        <w:t>3</w:t>
      </w:r>
      <w:r>
        <w:rPr>
          <w:rFonts w:hint="eastAsia" w:ascii="仿宋_GB2312" w:hAnsi="Calibri" w:eastAsia="仿宋_GB2312" w:cs="仿宋_GB2312"/>
          <w:b w:val="0"/>
          <w:bCs w:val="0"/>
          <w:caps w:val="0"/>
          <w:color w:val="000000"/>
          <w:kern w:val="0"/>
          <w:sz w:val="32"/>
          <w:szCs w:val="32"/>
          <w:vertAlign w:val="baseline"/>
          <w:lang w:val="en-US" w:eastAsia="zh-CN" w:bidi="ar"/>
        </w:rPr>
        <w:t>，氨排放浓度小时均值不高于8mg/m</w:t>
      </w:r>
      <w:r>
        <w:rPr>
          <w:rFonts w:hint="eastAsia" w:ascii="仿宋_GB2312" w:hAnsi="Calibri" w:eastAsia="仿宋_GB2312" w:cs="仿宋_GB2312"/>
          <w:b w:val="0"/>
          <w:bCs w:val="0"/>
          <w:caps w:val="0"/>
          <w:color w:val="000000"/>
          <w:kern w:val="0"/>
          <w:sz w:val="32"/>
          <w:szCs w:val="32"/>
          <w:vertAlign w:val="superscript"/>
          <w:lang w:val="en-US" w:eastAsia="zh-CN" w:bidi="ar"/>
        </w:rPr>
        <w:t>3</w:t>
      </w:r>
      <w:r>
        <w:rPr>
          <w:rFonts w:hint="eastAsia" w:ascii="仿宋_GB2312" w:hAnsi="Calibri" w:eastAsia="仿宋_GB2312" w:cs="仿宋_GB2312"/>
          <w:b w:val="0"/>
          <w:bCs w:val="0"/>
          <w:caps w:val="0"/>
          <w:color w:val="000000"/>
          <w:kern w:val="0"/>
          <w:sz w:val="32"/>
          <w:szCs w:val="32"/>
          <w:vertAlign w:val="baseline"/>
          <w:lang w:val="en-US" w:eastAsia="zh-CN" w:bidi="ar"/>
        </w:rPr>
        <w:t>（其他有组织排放指标详见附件1）。脱硝氨水消耗量小于4kg/t熟料（基于20%的氨水浓度折算）。达到超低排放的水泥企业每月至少95%以上时段小时均值排放浓度满足上述要求。</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（二）无组织排放控制要求。</w:t>
      </w:r>
      <w:r>
        <w:rPr>
          <w:rFonts w:hint="eastAsia" w:ascii="仿宋_GB2312" w:hAnsi="Calibri" w:eastAsia="仿宋_GB2312" w:cs="仿宋_GB2312"/>
          <w:b w:val="0"/>
          <w:bCs w:val="0"/>
          <w:caps w:val="0"/>
          <w:color w:val="000000"/>
          <w:kern w:val="0"/>
          <w:sz w:val="32"/>
          <w:szCs w:val="32"/>
          <w:vertAlign w:val="baseline"/>
          <w:lang w:val="en-US" w:eastAsia="zh-CN" w:bidi="ar"/>
        </w:rPr>
        <w:t>加强物料储存、物料输送及生产工艺过程无组织排放控制。在保障安全生产的前提下，针对性采取封闭、密闭等治理措施，有效提高废气收集效率，产尘点及车间不得有可见烟粉尘外逸（详见附件2）。</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（三）清洁运输要求。</w:t>
      </w:r>
      <w:r>
        <w:rPr>
          <w:rFonts w:hint="eastAsia" w:ascii="仿宋_GB2312" w:hAnsi="Calibri" w:eastAsia="仿宋_GB2312" w:cs="仿宋_GB2312"/>
          <w:b w:val="0"/>
          <w:bCs w:val="0"/>
          <w:caps w:val="0"/>
          <w:color w:val="000000"/>
          <w:kern w:val="0"/>
          <w:sz w:val="32"/>
          <w:szCs w:val="32"/>
          <w:vertAlign w:val="baseline"/>
          <w:lang w:val="en-US" w:eastAsia="zh-CN" w:bidi="ar"/>
        </w:rPr>
        <w:t>进出企业的物料和产品，鼓励采用铁路、水路、管道、带式输送机、封闭式皮带廊道及新能源车辆等清洁方式运输，或采用国六及以上排放标准车辆。鼓励厂内车辆</w:t>
      </w:r>
      <w:r>
        <w:rPr>
          <w:rFonts w:hint="eastAsia" w:ascii="仿宋_GB2312" w:hAnsi="Calibri" w:eastAsia="仿宋_GB2312" w:cs="仿宋_GB2312"/>
          <w:b w:val="0"/>
          <w:bCs w:val="0"/>
          <w:caps w:val="0"/>
          <w:color w:val="auto"/>
          <w:kern w:val="0"/>
          <w:sz w:val="32"/>
          <w:szCs w:val="32"/>
          <w:u w:val="none"/>
          <w:vertAlign w:val="baseline"/>
          <w:lang w:val="en-US" w:eastAsia="zh-CN" w:bidi="ar"/>
        </w:rPr>
        <w:t>使用</w:t>
      </w:r>
      <w:r>
        <w:rPr>
          <w:rFonts w:hint="eastAsia" w:ascii="仿宋_GB2312" w:hAnsi="Calibri" w:eastAsia="仿宋_GB2312" w:cs="仿宋_GB2312"/>
          <w:b w:val="0"/>
          <w:bCs w:val="0"/>
          <w:caps w:val="0"/>
          <w:color w:val="000000"/>
          <w:kern w:val="0"/>
          <w:sz w:val="32"/>
          <w:szCs w:val="32"/>
          <w:vertAlign w:val="baseline"/>
          <w:lang w:val="en-US" w:eastAsia="zh-CN" w:bidi="ar"/>
        </w:rPr>
        <w:t>达到国六及以上排放标准或使用新能源车辆，</w:t>
      </w:r>
      <w:r>
        <w:rPr>
          <w:rFonts w:hint="eastAsia" w:ascii="仿宋_GB2312" w:hAnsi="Calibri" w:eastAsia="仿宋_GB2312" w:cs="仿宋_GB2312"/>
          <w:b w:val="0"/>
          <w:bCs w:val="0"/>
          <w:caps w:val="0"/>
          <w:color w:val="auto"/>
          <w:kern w:val="0"/>
          <w:sz w:val="32"/>
          <w:szCs w:val="32"/>
          <w:u w:val="none"/>
          <w:vertAlign w:val="baseline"/>
          <w:lang w:val="en-US" w:eastAsia="zh-CN" w:bidi="ar"/>
        </w:rPr>
        <w:t>非道路移动机械使用</w:t>
      </w:r>
      <w:r>
        <w:rPr>
          <w:rFonts w:hint="eastAsia" w:ascii="仿宋_GB2312" w:hAnsi="Calibri" w:eastAsia="仿宋_GB2312" w:cs="仿宋_GB2312"/>
          <w:b w:val="0"/>
          <w:bCs w:val="0"/>
          <w:caps w:val="0"/>
          <w:color w:val="000000"/>
          <w:kern w:val="0"/>
          <w:sz w:val="32"/>
          <w:szCs w:val="32"/>
          <w:vertAlign w:val="baseline"/>
          <w:lang w:val="en-US" w:eastAsia="zh-CN" w:bidi="ar"/>
        </w:rPr>
        <w:t>达到</w:t>
      </w:r>
      <w:r>
        <w:rPr>
          <w:rFonts w:hint="eastAsia" w:ascii="仿宋_GB2312" w:hAnsi="Calibri" w:eastAsia="仿宋_GB2312" w:cs="仿宋_GB2312"/>
          <w:b w:val="0"/>
          <w:bCs w:val="0"/>
          <w:caps w:val="0"/>
          <w:color w:val="auto"/>
          <w:kern w:val="0"/>
          <w:sz w:val="32"/>
          <w:szCs w:val="32"/>
          <w:u w:val="none"/>
          <w:vertAlign w:val="baseline"/>
          <w:lang w:val="en-US" w:eastAsia="zh-CN" w:bidi="ar"/>
        </w:rPr>
        <w:t>国三及以上排放标准或新能源机械，新购置（含更新）的非道路移动机械使用新能源机械或达到国四排放标准。</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黑体" w:hAnsi="宋体" w:eastAsia="黑体" w:cs="黑体"/>
          <w:caps w:val="0"/>
          <w:color w:val="auto"/>
          <w:kern w:val="0"/>
          <w:sz w:val="32"/>
          <w:szCs w:val="32"/>
          <w:vertAlign w:val="baseline"/>
        </w:rPr>
      </w:pPr>
      <w:r>
        <w:rPr>
          <w:rFonts w:hint="eastAsia" w:ascii="黑体" w:hAnsi="宋体" w:eastAsia="黑体" w:cs="黑体"/>
          <w:b w:val="0"/>
          <w:bCs w:val="0"/>
          <w:caps w:val="0"/>
          <w:color w:val="auto"/>
          <w:kern w:val="0"/>
          <w:sz w:val="32"/>
          <w:szCs w:val="32"/>
          <w:vertAlign w:val="baseline"/>
          <w:lang w:val="en-US" w:eastAsia="zh-CN" w:bidi="ar"/>
        </w:rPr>
        <w:t>四、重点任务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（一）优化调整产业结构。</w:t>
      </w:r>
      <w:r>
        <w:rPr>
          <w:rFonts w:hint="eastAsia" w:ascii="仿宋_GB2312" w:hAnsi="Calibri" w:eastAsia="仿宋_GB2312" w:cs="仿宋_GB2312"/>
          <w:b w:val="0"/>
          <w:bCs w:val="0"/>
          <w:caps w:val="0"/>
          <w:color w:val="auto"/>
          <w:kern w:val="2"/>
          <w:sz w:val="32"/>
          <w:szCs w:val="32"/>
          <w:vertAlign w:val="baseline"/>
          <w:lang w:val="en-US" w:eastAsia="zh-CN" w:bidi="ar"/>
        </w:rPr>
        <w:t>按照“优结构、控总量、严准入”的原则，发挥能耗、环保、质量等指标作用，引导能耗高、排放强度大的低效产能有序退出，推动行业高质量发展。</w:t>
      </w:r>
      <w:r>
        <w:rPr>
          <w:rFonts w:hint="eastAsia" w:ascii="仿宋_GB2312" w:hAnsi="Calibri" w:eastAsia="仿宋_GB2312" w:cs="仿宋_GB2312"/>
          <w:b w:val="0"/>
          <w:bCs/>
          <w:caps w:val="0"/>
          <w:color w:val="auto"/>
          <w:kern w:val="0"/>
          <w:sz w:val="32"/>
          <w:szCs w:val="32"/>
          <w:vertAlign w:val="baseline"/>
          <w:lang w:val="en-US" w:eastAsia="zh-CN" w:bidi="ar"/>
        </w:rPr>
        <w:t>结构优化上，</w:t>
      </w:r>
      <w:r>
        <w:rPr>
          <w:rFonts w:hint="eastAsia" w:ascii="仿宋_GB2312" w:hAnsi="Calibri" w:eastAsia="仿宋_GB2312" w:cs="仿宋_GB2312"/>
          <w:b w:val="0"/>
          <w:bCs w:val="0"/>
          <w:caps w:val="0"/>
          <w:color w:val="auto"/>
          <w:kern w:val="2"/>
          <w:sz w:val="32"/>
          <w:szCs w:val="32"/>
          <w:vertAlign w:val="baseline"/>
          <w:lang w:val="en-US" w:eastAsia="zh-CN" w:bidi="ar"/>
        </w:rPr>
        <w:t>推动水泥行业集中集聚发展，优化产业结构，形成规模效益，降低单位产品能耗，坚决淘汰落后产能和工艺装备。</w:t>
      </w:r>
      <w:r>
        <w:rPr>
          <w:rFonts w:hint="eastAsia" w:ascii="仿宋_GB2312" w:hAnsi="Calibri" w:eastAsia="仿宋_GB2312" w:cs="仿宋_GB2312"/>
          <w:b w:val="0"/>
          <w:bCs/>
          <w:caps w:val="0"/>
          <w:color w:val="auto"/>
          <w:kern w:val="0"/>
          <w:sz w:val="32"/>
          <w:szCs w:val="32"/>
          <w:vertAlign w:val="baseline"/>
          <w:lang w:val="en-US" w:eastAsia="zh-CN" w:bidi="ar"/>
        </w:rPr>
        <w:t>产能置换上，</w:t>
      </w:r>
      <w:r>
        <w:rPr>
          <w:rFonts w:hint="eastAsia" w:ascii="仿宋_GB2312" w:hAnsi="Calibri" w:eastAsia="仿宋_GB2312" w:cs="仿宋_GB2312"/>
          <w:b w:val="0"/>
          <w:bCs w:val="0"/>
          <w:caps w:val="0"/>
          <w:color w:val="auto"/>
          <w:kern w:val="2"/>
          <w:sz w:val="32"/>
          <w:szCs w:val="32"/>
          <w:vertAlign w:val="baseline"/>
          <w:lang w:val="en-US" w:eastAsia="zh-CN" w:bidi="ar"/>
        </w:rPr>
        <w:t>严格执行水泥熟料产能减量置换有关规定。</w:t>
      </w:r>
      <w:r>
        <w:rPr>
          <w:rFonts w:hint="eastAsia" w:ascii="仿宋_GB2312" w:hAnsi="Calibri" w:eastAsia="仿宋_GB2312" w:cs="仿宋_GB2312"/>
          <w:b w:val="0"/>
          <w:bCs/>
          <w:caps w:val="0"/>
          <w:color w:val="auto"/>
          <w:kern w:val="0"/>
          <w:sz w:val="32"/>
          <w:szCs w:val="32"/>
          <w:vertAlign w:val="baseline"/>
          <w:lang w:val="en-US" w:eastAsia="zh-CN" w:bidi="ar"/>
        </w:rPr>
        <w:t>项目准入上，</w:t>
      </w:r>
      <w:r>
        <w:rPr>
          <w:rFonts w:hint="eastAsia" w:ascii="仿宋_GB2312" w:hAnsi="Calibri" w:eastAsia="仿宋_GB2312" w:cs="仿宋_GB2312"/>
          <w:b w:val="0"/>
          <w:bCs w:val="0"/>
          <w:caps w:val="0"/>
          <w:color w:val="auto"/>
          <w:kern w:val="2"/>
          <w:sz w:val="32"/>
          <w:szCs w:val="32"/>
          <w:vertAlign w:val="baseline"/>
          <w:lang w:val="en-US" w:eastAsia="zh-CN" w:bidi="ar"/>
        </w:rPr>
        <w:t>拟建、在建项目严格对照超低排放、能效标杆水平建设实施。列入淘汰退出计划的企业或设施不再要求实施超低排放改造。</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（二）推进超低排放改造。</w:t>
      </w:r>
      <w:r>
        <w:rPr>
          <w:rFonts w:hint="eastAsia" w:ascii="仿宋_GB2312" w:hAnsi="Calibri" w:eastAsia="仿宋_GB2312" w:cs="仿宋_GB2312"/>
          <w:b w:val="0"/>
          <w:bCs w:val="0"/>
          <w:caps w:val="0"/>
          <w:color w:val="auto"/>
          <w:kern w:val="2"/>
          <w:sz w:val="32"/>
          <w:szCs w:val="32"/>
          <w:vertAlign w:val="baseline"/>
          <w:lang w:val="en-US" w:eastAsia="zh-CN" w:bidi="ar"/>
        </w:rPr>
        <w:t>各地要以改善空气质量为重点，按照“有组织排放超低化、无组织排放系统化、运输方式清洁化”的原则，因厂制宜选择成熟适用的环保改造技术，有序推进水泥企业超低排放改造。</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bCs/>
          <w:caps w:val="0"/>
          <w:color w:val="auto"/>
          <w:kern w:val="2"/>
          <w:sz w:val="32"/>
          <w:szCs w:val="32"/>
          <w:vertAlign w:val="baseline"/>
          <w:lang w:val="en-US" w:eastAsia="zh-CN" w:bidi="ar"/>
        </w:rPr>
        <w:t>加快有组织排放改造。</w:t>
      </w:r>
      <w:r>
        <w:rPr>
          <w:rFonts w:hint="eastAsia" w:ascii="仿宋_GB2312" w:hAnsi="Calibri" w:eastAsia="仿宋_GB2312" w:cs="仿宋_GB2312"/>
          <w:b w:val="0"/>
          <w:bCs/>
          <w:caps w:val="0"/>
          <w:color w:val="auto"/>
          <w:kern w:val="0"/>
          <w:sz w:val="32"/>
          <w:szCs w:val="32"/>
          <w:vertAlign w:val="baseline"/>
          <w:lang w:val="en-US" w:eastAsia="zh-CN" w:bidi="ar"/>
        </w:rPr>
        <w:t>强化源头控制，</w:t>
      </w:r>
      <w:r>
        <w:rPr>
          <w:rFonts w:hint="eastAsia" w:ascii="仿宋_GB2312" w:hAnsi="Calibri" w:eastAsia="仿宋_GB2312" w:cs="仿宋_GB2312"/>
          <w:b w:val="0"/>
          <w:bCs w:val="0"/>
          <w:caps w:val="0"/>
          <w:color w:val="auto"/>
          <w:kern w:val="2"/>
          <w:sz w:val="32"/>
          <w:szCs w:val="32"/>
          <w:vertAlign w:val="baseline"/>
          <w:lang w:val="en-US" w:eastAsia="zh-CN" w:bidi="ar"/>
        </w:rPr>
        <w:t>水泥窑配备低氮燃烧器，采用分级燃烧及其他分解炉氧含量精细化管控等低氮燃烧技术；采取有效措施控制氨逃逸。</w:t>
      </w:r>
      <w:r>
        <w:rPr>
          <w:rFonts w:hint="eastAsia" w:ascii="仿宋_GB2312" w:hAnsi="Calibri" w:eastAsia="仿宋_GB2312" w:cs="仿宋_GB2312"/>
          <w:b w:val="0"/>
          <w:bCs/>
          <w:caps w:val="0"/>
          <w:color w:val="auto"/>
          <w:kern w:val="0"/>
          <w:sz w:val="32"/>
          <w:szCs w:val="32"/>
          <w:vertAlign w:val="baseline"/>
          <w:lang w:val="en-US" w:eastAsia="zh-CN" w:bidi="ar"/>
        </w:rPr>
        <w:t>加强过程管控，</w:t>
      </w:r>
      <w:r>
        <w:rPr>
          <w:rFonts w:hint="eastAsia" w:ascii="仿宋_GB2312" w:hAnsi="Calibri" w:eastAsia="仿宋_GB2312" w:cs="仿宋_GB2312"/>
          <w:b w:val="0"/>
          <w:bCs w:val="0"/>
          <w:caps w:val="0"/>
          <w:color w:val="auto"/>
          <w:kern w:val="2"/>
          <w:sz w:val="32"/>
          <w:szCs w:val="32"/>
          <w:vertAlign w:val="baseline"/>
          <w:lang w:val="en-US" w:eastAsia="zh-CN" w:bidi="ar"/>
        </w:rPr>
        <w:t>推动取消烟气旁路，确因安全生产需要暂时保留的，在非紧急情况下保持关闭并铅封，通过安装自动监测设备、流量计等方式加强监管，鼓励在旁路设置感应式阀门，阀门开启状态、开度等信号接入中控系统；水泥窑协同处置固体废物企业应将旁路放风烟气引入窑尾合并排放。</w:t>
      </w:r>
      <w:r>
        <w:rPr>
          <w:rFonts w:hint="eastAsia" w:ascii="仿宋_GB2312" w:hAnsi="Calibri" w:eastAsia="仿宋_GB2312" w:cs="仿宋_GB2312"/>
          <w:b w:val="0"/>
          <w:bCs/>
          <w:caps w:val="0"/>
          <w:color w:val="auto"/>
          <w:kern w:val="0"/>
          <w:sz w:val="32"/>
          <w:szCs w:val="32"/>
          <w:vertAlign w:val="baseline"/>
          <w:lang w:val="en-US" w:eastAsia="zh-CN" w:bidi="ar"/>
        </w:rPr>
        <w:t>规范末端治理，</w:t>
      </w:r>
      <w:r>
        <w:rPr>
          <w:rFonts w:hint="eastAsia" w:ascii="仿宋_GB2312" w:hAnsi="Calibri" w:eastAsia="仿宋_GB2312" w:cs="仿宋_GB2312"/>
          <w:b w:val="0"/>
          <w:bCs w:val="0"/>
          <w:caps w:val="0"/>
          <w:color w:val="auto"/>
          <w:kern w:val="2"/>
          <w:sz w:val="32"/>
          <w:szCs w:val="32"/>
          <w:vertAlign w:val="baseline"/>
          <w:lang w:val="en-US" w:eastAsia="zh-CN" w:bidi="ar"/>
        </w:rPr>
        <w:t>应采用规范高效的除尘、脱硫设施，鼓励采用SCR等成熟高效稳定的脱硝技术。</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bCs/>
          <w:caps w:val="0"/>
          <w:color w:val="auto"/>
          <w:kern w:val="2"/>
          <w:sz w:val="32"/>
          <w:szCs w:val="32"/>
          <w:vertAlign w:val="baseline"/>
          <w:lang w:val="en-US" w:eastAsia="zh-CN" w:bidi="ar"/>
        </w:rPr>
        <w:t>强化无组织排放控制。</w:t>
      </w:r>
      <w:r>
        <w:rPr>
          <w:rFonts w:hint="eastAsia" w:ascii="仿宋_GB2312" w:hAnsi="Calibri" w:eastAsia="仿宋_GB2312" w:cs="仿宋_GB2312"/>
          <w:b w:val="0"/>
          <w:bCs/>
          <w:caps w:val="0"/>
          <w:color w:val="auto"/>
          <w:kern w:val="0"/>
          <w:sz w:val="32"/>
          <w:szCs w:val="32"/>
          <w:vertAlign w:val="baseline"/>
          <w:lang w:val="en-US" w:eastAsia="zh-CN" w:bidi="ar"/>
        </w:rPr>
        <w:t>物料存储方面，</w:t>
      </w:r>
      <w:r>
        <w:rPr>
          <w:rFonts w:hint="eastAsia" w:ascii="仿宋_GB2312" w:hAnsi="Calibri" w:eastAsia="仿宋_GB2312" w:cs="仿宋_GB2312"/>
          <w:b w:val="0"/>
          <w:bCs w:val="0"/>
          <w:caps w:val="0"/>
          <w:color w:val="auto"/>
          <w:kern w:val="2"/>
          <w:sz w:val="32"/>
          <w:szCs w:val="32"/>
          <w:vertAlign w:val="baseline"/>
          <w:lang w:val="en-US" w:eastAsia="zh-CN" w:bidi="ar"/>
        </w:rPr>
        <w:t>应采用密闭、封闭等有效治理措施，鼓励采用全封闭机械化料场、筒仓、圆库等方式，产尘点应按照“应收尽收”原则合理配置废气收集设施，优化收集风量。</w:t>
      </w:r>
      <w:r>
        <w:rPr>
          <w:rFonts w:hint="eastAsia" w:ascii="仿宋_GB2312" w:hAnsi="Calibri" w:eastAsia="仿宋_GB2312" w:cs="仿宋_GB2312"/>
          <w:b w:val="0"/>
          <w:bCs/>
          <w:caps w:val="0"/>
          <w:color w:val="auto"/>
          <w:kern w:val="0"/>
          <w:sz w:val="32"/>
          <w:szCs w:val="32"/>
          <w:vertAlign w:val="baseline"/>
          <w:lang w:val="en-US" w:eastAsia="zh-CN" w:bidi="ar"/>
        </w:rPr>
        <w:t>物料转运方面，</w:t>
      </w:r>
      <w:r>
        <w:rPr>
          <w:rFonts w:hint="eastAsia" w:ascii="仿宋_GB2312" w:hAnsi="Calibri" w:eastAsia="仿宋_GB2312" w:cs="仿宋_GB2312"/>
          <w:b w:val="0"/>
          <w:bCs w:val="0"/>
          <w:caps w:val="0"/>
          <w:color w:val="auto"/>
          <w:kern w:val="2"/>
          <w:sz w:val="32"/>
          <w:szCs w:val="32"/>
          <w:vertAlign w:val="baseline"/>
          <w:lang w:val="en-US" w:eastAsia="zh-CN" w:bidi="ar"/>
        </w:rPr>
        <w:t>优化工艺流程，减少转运环节，降低物料落差，缩短运输距离；破碎机、磨机喂料装置应有密闭或封闭防尘措施，卸料口和除尘器出灰口安装锁风装置。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bCs/>
          <w:caps w:val="0"/>
          <w:color w:val="auto"/>
          <w:kern w:val="2"/>
          <w:sz w:val="32"/>
          <w:szCs w:val="32"/>
          <w:vertAlign w:val="baseline"/>
          <w:lang w:val="en-US" w:eastAsia="zh-CN" w:bidi="ar"/>
        </w:rPr>
        <w:t>加强清洁运输改造。</w:t>
      </w:r>
      <w:r>
        <w:rPr>
          <w:rFonts w:hint="eastAsia" w:ascii="仿宋_GB2312" w:hAnsi="Calibri" w:eastAsia="仿宋_GB2312" w:cs="仿宋_GB2312"/>
          <w:b w:val="0"/>
          <w:bCs/>
          <w:caps w:val="0"/>
          <w:color w:val="auto"/>
          <w:kern w:val="0"/>
          <w:sz w:val="32"/>
          <w:szCs w:val="32"/>
          <w:vertAlign w:val="baseline"/>
          <w:lang w:val="en-US" w:eastAsia="zh-CN" w:bidi="ar"/>
        </w:rPr>
        <w:t>厂外运输方面，</w:t>
      </w:r>
      <w:r>
        <w:rPr>
          <w:rFonts w:hint="eastAsia" w:ascii="仿宋_GB2312" w:hAnsi="Calibri" w:eastAsia="仿宋_GB2312" w:cs="仿宋_GB2312"/>
          <w:b w:val="0"/>
          <w:bCs w:val="0"/>
          <w:caps w:val="0"/>
          <w:color w:val="auto"/>
          <w:kern w:val="2"/>
          <w:sz w:val="32"/>
          <w:szCs w:val="32"/>
          <w:vertAlign w:val="baseline"/>
          <w:lang w:val="en-US" w:eastAsia="zh-CN" w:bidi="ar"/>
        </w:rPr>
        <w:t>中长途运输优先采用铁路或水路，中短途运输优先采用管廊或新能源车辆。</w:t>
      </w:r>
      <w:r>
        <w:rPr>
          <w:rFonts w:hint="eastAsia" w:ascii="仿宋_GB2312" w:hAnsi="Calibri" w:eastAsia="仿宋_GB2312" w:cs="仿宋_GB2312"/>
          <w:b w:val="0"/>
          <w:bCs/>
          <w:caps w:val="0"/>
          <w:color w:val="auto"/>
          <w:kern w:val="0"/>
          <w:sz w:val="32"/>
          <w:szCs w:val="32"/>
          <w:vertAlign w:val="baseline"/>
          <w:lang w:val="en-US" w:eastAsia="zh-CN" w:bidi="ar"/>
        </w:rPr>
        <w:t>厂内运输方面，</w:t>
      </w:r>
      <w:r>
        <w:rPr>
          <w:rFonts w:hint="eastAsia" w:ascii="仿宋_GB2312" w:hAnsi="Calibri" w:eastAsia="仿宋_GB2312" w:cs="仿宋_GB2312"/>
          <w:b w:val="0"/>
          <w:bCs w:val="0"/>
          <w:caps w:val="0"/>
          <w:color w:val="auto"/>
          <w:kern w:val="2"/>
          <w:sz w:val="32"/>
          <w:szCs w:val="32"/>
          <w:vertAlign w:val="baseline"/>
          <w:lang w:val="en-US" w:eastAsia="zh-CN" w:bidi="ar"/>
        </w:rPr>
        <w:t>应优先采用皮带、轨道、辊道运输系统转运物料，减少厂内物料二次倒运及汽车运输量；鼓励使用新能源非道路移动机械。</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（三）统筹减污降碳协同。</w:t>
      </w:r>
      <w:r>
        <w:rPr>
          <w:rFonts w:hint="eastAsia" w:ascii="仿宋_GB2312" w:hAnsi="Calibri" w:eastAsia="仿宋_GB2312" w:cs="仿宋_GB2312"/>
          <w:b w:val="0"/>
          <w:bCs w:val="0"/>
          <w:caps w:val="0"/>
          <w:color w:val="auto"/>
          <w:kern w:val="2"/>
          <w:sz w:val="32"/>
          <w:szCs w:val="32"/>
          <w:vertAlign w:val="baseline"/>
          <w:lang w:val="en-US" w:eastAsia="zh-CN" w:bidi="ar"/>
        </w:rPr>
        <w:t>推动水泥行业通过原料替代、燃料替代、工艺改造，提升行业能效水平，降低污染物和碳排放强度。</w:t>
      </w:r>
      <w:r>
        <w:rPr>
          <w:rFonts w:hint="eastAsia" w:ascii="仿宋_GB2312" w:hAnsi="Calibri" w:eastAsia="仿宋_GB2312" w:cs="仿宋_GB2312"/>
          <w:b w:val="0"/>
          <w:bCs/>
          <w:caps w:val="0"/>
          <w:color w:val="auto"/>
          <w:kern w:val="0"/>
          <w:sz w:val="32"/>
          <w:szCs w:val="32"/>
          <w:vertAlign w:val="baseline"/>
          <w:lang w:val="en-US" w:eastAsia="zh-CN" w:bidi="ar"/>
        </w:rPr>
        <w:t>推进原料替代，</w:t>
      </w:r>
      <w:r>
        <w:rPr>
          <w:rFonts w:hint="eastAsia" w:ascii="仿宋_GB2312" w:hAnsi="Calibri" w:eastAsia="仿宋_GB2312" w:cs="仿宋_GB2312"/>
          <w:b w:val="0"/>
          <w:bCs w:val="0"/>
          <w:caps w:val="0"/>
          <w:color w:val="auto"/>
          <w:kern w:val="2"/>
          <w:sz w:val="32"/>
          <w:szCs w:val="32"/>
          <w:vertAlign w:val="baseline"/>
          <w:lang w:val="en-US" w:eastAsia="zh-CN" w:bidi="ar"/>
        </w:rPr>
        <w:t>在保障水泥产品质量前提下，提高含钙、镁废渣资源替代石灰石比重；提高矿渣、粉煤灰工业废物掺加比例，降低熟料系数。</w:t>
      </w:r>
      <w:r>
        <w:rPr>
          <w:rFonts w:hint="eastAsia" w:ascii="仿宋_GB2312" w:hAnsi="Calibri" w:eastAsia="仿宋_GB2312" w:cs="仿宋_GB2312"/>
          <w:b w:val="0"/>
          <w:bCs/>
          <w:caps w:val="0"/>
          <w:color w:val="auto"/>
          <w:kern w:val="0"/>
          <w:sz w:val="32"/>
          <w:szCs w:val="32"/>
          <w:vertAlign w:val="baseline"/>
          <w:lang w:val="en-US" w:eastAsia="zh-CN" w:bidi="ar"/>
        </w:rPr>
        <w:t>推进燃料替代，</w:t>
      </w:r>
      <w:r>
        <w:rPr>
          <w:rFonts w:hint="eastAsia" w:ascii="仿宋_GB2312" w:hAnsi="Calibri" w:eastAsia="仿宋_GB2312" w:cs="仿宋_GB2312"/>
          <w:b w:val="0"/>
          <w:bCs w:val="0"/>
          <w:caps w:val="0"/>
          <w:color w:val="auto"/>
          <w:kern w:val="2"/>
          <w:sz w:val="32"/>
          <w:szCs w:val="32"/>
          <w:vertAlign w:val="baseline"/>
          <w:lang w:val="en-US" w:eastAsia="zh-CN" w:bidi="ar"/>
        </w:rPr>
        <w:t>利用水泥窑协同处置固体废弃物等替代煤炭；采用独立热源烘干的企业，鼓励使用天然气、电等清洁能源。</w:t>
      </w:r>
      <w:r>
        <w:rPr>
          <w:rFonts w:hint="eastAsia" w:ascii="仿宋_GB2312" w:hAnsi="Calibri" w:eastAsia="仿宋_GB2312" w:cs="仿宋_GB2312"/>
          <w:b w:val="0"/>
          <w:bCs/>
          <w:caps w:val="0"/>
          <w:color w:val="auto"/>
          <w:kern w:val="0"/>
          <w:sz w:val="32"/>
          <w:szCs w:val="32"/>
          <w:vertAlign w:val="baseline"/>
          <w:lang w:val="en-US" w:eastAsia="zh-CN" w:bidi="ar"/>
        </w:rPr>
        <w:t>推进工艺改造，</w:t>
      </w:r>
      <w:r>
        <w:rPr>
          <w:rFonts w:hint="eastAsia" w:ascii="仿宋_GB2312" w:hAnsi="Calibri" w:eastAsia="仿宋_GB2312" w:cs="仿宋_GB2312"/>
          <w:b w:val="0"/>
          <w:bCs w:val="0"/>
          <w:caps w:val="0"/>
          <w:color w:val="auto"/>
          <w:kern w:val="2"/>
          <w:sz w:val="32"/>
          <w:szCs w:val="32"/>
          <w:vertAlign w:val="baseline"/>
          <w:lang w:val="en-US" w:eastAsia="zh-CN" w:bidi="ar"/>
        </w:rPr>
        <w:t>严格执行水泥单位产品能源消耗限额要求，企业在规定时限内达到能效基准水平，力争达到能效标杆水平。加快推广低阻旋风预热器、高效烧成、高效篦冷机、高效节能粉磨等节能技术装备。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（四）提升企业环境管理水平。</w:t>
      </w:r>
      <w:r>
        <w:rPr>
          <w:rFonts w:hint="eastAsia" w:ascii="仿宋_GB2312" w:hAnsi="Calibri" w:eastAsia="仿宋_GB2312" w:cs="仿宋_GB2312"/>
          <w:b w:val="0"/>
          <w:bCs w:val="0"/>
          <w:caps w:val="0"/>
          <w:color w:val="auto"/>
          <w:kern w:val="2"/>
          <w:sz w:val="32"/>
          <w:szCs w:val="32"/>
          <w:vertAlign w:val="baseline"/>
          <w:lang w:val="en-US" w:eastAsia="zh-CN" w:bidi="ar"/>
        </w:rPr>
        <w:t>加强监管平台建设，完善监测监控设备，规范运行维护，实现全过程、全方位数字化、信息化、智能化管理，增强企业对治污设施、清洁运输等的监控监管能力。</w:t>
      </w:r>
      <w:r>
        <w:rPr>
          <w:rFonts w:hint="eastAsia" w:ascii="仿宋_GB2312" w:hAnsi="Calibri" w:eastAsia="仿宋_GB2312" w:cs="仿宋_GB2312"/>
          <w:b w:val="0"/>
          <w:bCs/>
          <w:caps w:val="0"/>
          <w:color w:val="auto"/>
          <w:kern w:val="0"/>
          <w:sz w:val="32"/>
          <w:szCs w:val="32"/>
          <w:vertAlign w:val="baseline"/>
          <w:lang w:val="en-US" w:eastAsia="zh-CN" w:bidi="ar"/>
        </w:rPr>
        <w:t>监测监控方面，</w:t>
      </w:r>
      <w:r>
        <w:rPr>
          <w:rFonts w:hint="eastAsia" w:ascii="仿宋_GB2312" w:hAnsi="Calibri" w:eastAsia="仿宋_GB2312" w:cs="仿宋_GB2312"/>
          <w:b w:val="0"/>
          <w:bCs w:val="0"/>
          <w:caps w:val="0"/>
          <w:color w:val="auto"/>
          <w:kern w:val="2"/>
          <w:sz w:val="32"/>
          <w:szCs w:val="32"/>
          <w:vertAlign w:val="baseline"/>
          <w:lang w:val="en-US" w:eastAsia="zh-CN" w:bidi="ar"/>
        </w:rPr>
        <w:t>建设全厂一体化环境管控平台，安装分布式控制系统（DCS），在重点工序安装高清视频监控、关键点位布设空气质量监测微站、运输车辆进出厂区口安装门禁及视频监控等，增加水泥窑尾氨污染因子在线监测(详见附件3、4)。</w:t>
      </w:r>
      <w:r>
        <w:rPr>
          <w:rFonts w:hint="eastAsia" w:ascii="仿宋_GB2312" w:hAnsi="Calibri" w:eastAsia="仿宋_GB2312" w:cs="仿宋_GB2312"/>
          <w:b w:val="0"/>
          <w:bCs w:val="0"/>
          <w:caps w:val="0"/>
          <w:color w:val="auto"/>
          <w:kern w:val="2"/>
          <w:sz w:val="32"/>
          <w:szCs w:val="32"/>
          <w:u w:val="none"/>
          <w:vertAlign w:val="baseline"/>
          <w:lang w:val="en-US" w:eastAsia="zh-CN" w:bidi="ar"/>
        </w:rPr>
        <w:t>自动监测、DCS监控等数据至少要保存一年以上，视频监控数据至少要保存三个月以上。</w:t>
      </w:r>
      <w:r>
        <w:rPr>
          <w:rFonts w:hint="eastAsia" w:ascii="仿宋_GB2312" w:hAnsi="Calibri" w:eastAsia="仿宋_GB2312" w:cs="仿宋_GB2312"/>
          <w:b w:val="0"/>
          <w:bCs/>
          <w:caps w:val="0"/>
          <w:color w:val="auto"/>
          <w:kern w:val="0"/>
          <w:sz w:val="32"/>
          <w:szCs w:val="32"/>
          <w:vertAlign w:val="baseline"/>
          <w:lang w:val="en-US" w:eastAsia="zh-CN" w:bidi="ar"/>
        </w:rPr>
        <w:t>运行维护方面，</w:t>
      </w:r>
      <w:r>
        <w:rPr>
          <w:rFonts w:hint="eastAsia" w:ascii="仿宋_GB2312" w:hAnsi="Calibri" w:eastAsia="仿宋_GB2312" w:cs="仿宋_GB2312"/>
          <w:b w:val="0"/>
          <w:bCs w:val="0"/>
          <w:caps w:val="0"/>
          <w:color w:val="auto"/>
          <w:kern w:val="2"/>
          <w:sz w:val="32"/>
          <w:szCs w:val="32"/>
          <w:vertAlign w:val="baseline"/>
          <w:lang w:val="en-US" w:eastAsia="zh-CN" w:bidi="ar"/>
        </w:rPr>
        <w:t>企业应规范运行除尘、脱硫、脱硝设施，合理控制喷氨量，有效控制氨逃逸。</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黑体" w:hAnsi="宋体" w:eastAsia="黑体" w:cs="黑体"/>
          <w:caps w:val="0"/>
          <w:color w:val="auto"/>
          <w:kern w:val="0"/>
          <w:sz w:val="32"/>
          <w:szCs w:val="32"/>
          <w:vertAlign w:val="baseline"/>
        </w:rPr>
      </w:pPr>
      <w:r>
        <w:rPr>
          <w:rFonts w:hint="eastAsia" w:ascii="黑体" w:hAnsi="宋体" w:eastAsia="黑体" w:cs="黑体"/>
          <w:b w:val="0"/>
          <w:bCs w:val="0"/>
          <w:caps w:val="0"/>
          <w:color w:val="auto"/>
          <w:kern w:val="0"/>
          <w:sz w:val="32"/>
          <w:szCs w:val="32"/>
          <w:vertAlign w:val="baseline"/>
          <w:lang w:val="en-US" w:eastAsia="zh-CN" w:bidi="ar"/>
        </w:rPr>
        <w:t>五、政策措施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（一）加强组织领导。</w:t>
      </w:r>
      <w:r>
        <w:rPr>
          <w:rFonts w:hint="eastAsia" w:ascii="仿宋_GB2312" w:hAnsi="Calibri" w:eastAsia="仿宋_GB2312" w:cs="仿宋_GB2312"/>
          <w:b w:val="0"/>
          <w:bCs w:val="0"/>
          <w:caps w:val="0"/>
          <w:color w:val="auto"/>
          <w:kern w:val="2"/>
          <w:sz w:val="32"/>
          <w:szCs w:val="32"/>
          <w:vertAlign w:val="baseline"/>
          <w:lang w:val="en-US" w:eastAsia="zh-CN" w:bidi="ar"/>
        </w:rPr>
        <w:t>省生态环境厅、发改委、工信厅等共同组织实施水泥行业超低排放改造，有关部门各司其职、密切配合、形成合力，加强对地方工作指导，及时协调解决推进过程中的困难和问题。省生态环境厅会同有关部门建立全省水泥行业超低排放改造管理台账。各地要围绕环境空气质量改善需求，按照全面实施水泥行业超低排放改造的总体要求，制定本地水泥企业超低排放改造实施方案，确定年度重点改造项目，细化目标任务，分解落实责任，于2023年8月底前报送省生态环境厅、工信厅。</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（二）强化企业主体责任。</w:t>
      </w:r>
      <w:r>
        <w:rPr>
          <w:rFonts w:hint="eastAsia" w:ascii="仿宋_GB2312" w:hAnsi="Calibri" w:eastAsia="仿宋_GB2312" w:cs="仿宋_GB2312"/>
          <w:b w:val="0"/>
          <w:bCs w:val="0"/>
          <w:caps w:val="0"/>
          <w:color w:val="auto"/>
          <w:kern w:val="2"/>
          <w:sz w:val="32"/>
          <w:szCs w:val="32"/>
          <w:vertAlign w:val="baseline"/>
          <w:lang w:val="en-US" w:eastAsia="zh-CN" w:bidi="ar"/>
        </w:rPr>
        <w:t>水泥企业是实施超低排放改造的责任主体，应制定具体工作方案，严把工程质量，加强人员技术培训，健全内部环保考核管理机制，确保按期高质量完成改造。大型水泥企业集团要发挥表率作用，及时将改造目标任务分解落实到具体企业，力争提前完成。企业完成超低排放改造连续稳定运行一个月后，可自行或委托有能力的技术机构和有资质的监测机构，开展超低排放改造效果评估监测。稳定达到超低排放改造要求的，分别报送当地生态环境、工信等部门。鼓励行业协会发挥桥梁纽带作用，指导企业开展超低排放改造和评估监测工作，在行业协会网站公示各企业超低排放改造和评估监测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（三）加大政策支持力度。</w:t>
      </w:r>
      <w:r>
        <w:rPr>
          <w:rFonts w:hint="eastAsia" w:ascii="仿宋_GB2312" w:hAnsi="Calibri" w:eastAsia="仿宋_GB2312" w:cs="仿宋_GB2312"/>
          <w:b w:val="0"/>
          <w:bCs w:val="0"/>
          <w:caps w:val="0"/>
          <w:color w:val="auto"/>
          <w:kern w:val="2"/>
          <w:sz w:val="32"/>
          <w:szCs w:val="32"/>
          <w:vertAlign w:val="baseline"/>
          <w:lang w:val="en-US" w:eastAsia="zh-CN" w:bidi="ar"/>
        </w:rPr>
        <w:t>落实环境保护税法和购置环境保护专用设备企业所得税抵免优惠政策。将水泥超低排放改造项目纳入中央、省级</w:t>
      </w:r>
      <w:r>
        <w:rPr>
          <w:rFonts w:hint="eastAsia" w:ascii="仿宋_GB2312" w:hAnsi="Calibri" w:cs="仿宋_GB2312"/>
          <w:b w:val="0"/>
          <w:bCs w:val="0"/>
          <w:caps w:val="0"/>
          <w:color w:val="auto"/>
          <w:kern w:val="2"/>
          <w:sz w:val="32"/>
          <w:szCs w:val="32"/>
          <w:vertAlign w:val="baseline"/>
          <w:lang w:val="en-US" w:eastAsia="zh-CN" w:bidi="ar"/>
        </w:rPr>
        <w:t>有关</w:t>
      </w:r>
      <w:r>
        <w:rPr>
          <w:rFonts w:hint="eastAsia" w:ascii="仿宋_GB2312" w:hAnsi="Calibri" w:eastAsia="仿宋_GB2312" w:cs="仿宋_GB2312"/>
          <w:b w:val="0"/>
          <w:bCs w:val="0"/>
          <w:caps w:val="0"/>
          <w:color w:val="auto"/>
          <w:kern w:val="2"/>
          <w:sz w:val="32"/>
          <w:szCs w:val="32"/>
          <w:vertAlign w:val="baseline"/>
          <w:lang w:val="en-US" w:eastAsia="zh-CN" w:bidi="ar"/>
        </w:rPr>
        <w:t>大气污染防治资金支持重点。充分发挥标杆企业引领示范作用，对于已完成超低排放改造的水泥企业，减少或免除错峰生产停限产，并在年度碳配额发放中予以倾斜；对水泥企业实行绩效分级，在污染天气预警期间，实施差异化管控措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（四）加强执法监管。</w:t>
      </w:r>
      <w:r>
        <w:rPr>
          <w:rFonts w:hint="eastAsia" w:ascii="仿宋_GB2312" w:hAnsi="Calibri" w:eastAsia="仿宋_GB2312" w:cs="仿宋_GB2312"/>
          <w:b w:val="0"/>
          <w:bCs w:val="0"/>
          <w:caps w:val="0"/>
          <w:color w:val="auto"/>
          <w:kern w:val="2"/>
          <w:sz w:val="32"/>
          <w:szCs w:val="32"/>
          <w:vertAlign w:val="baseline"/>
          <w:lang w:val="en-US" w:eastAsia="zh-CN" w:bidi="ar"/>
        </w:rPr>
        <w:t>各地要做好日常监督和执法检查，对水泥企业污染治理设施运行、原辅料采购与消耗记录、治理设施耗材的更换流转记录等进行检查，推动企业加强治污设施建设和运维管理，确保稳定达到国家或地方大气污染物排放标准。对已完成超低排放改造的，应加强事中事后监管，建立动态监督管理台账，组织开展“双随机”检查，对不能稳定实现超低排放的，</w:t>
      </w:r>
      <w:r>
        <w:rPr>
          <w:rFonts w:hint="eastAsia" w:ascii="仿宋_GB2312" w:hAnsi="Calibri" w:eastAsia="仿宋_GB2312" w:cs="仿宋_GB2312"/>
          <w:b w:val="0"/>
          <w:bCs w:val="0"/>
          <w:caps w:val="0"/>
          <w:color w:val="auto"/>
          <w:kern w:val="2"/>
          <w:sz w:val="32"/>
          <w:szCs w:val="32"/>
          <w:u w:val="none"/>
          <w:vertAlign w:val="baseline"/>
          <w:lang w:val="en-US" w:eastAsia="zh-CN" w:bidi="ar"/>
        </w:rPr>
        <w:t>及时调整出动态监督管理台账</w:t>
      </w:r>
      <w:r>
        <w:rPr>
          <w:rFonts w:hint="eastAsia" w:ascii="仿宋_GB2312" w:hAnsi="Calibri" w:eastAsia="仿宋_GB2312" w:cs="仿宋_GB2312"/>
          <w:b w:val="0"/>
          <w:bCs w:val="0"/>
          <w:caps w:val="0"/>
          <w:color w:val="auto"/>
          <w:kern w:val="2"/>
          <w:sz w:val="32"/>
          <w:szCs w:val="32"/>
          <w:vertAlign w:val="baseline"/>
          <w:lang w:val="en-US" w:eastAsia="zh-CN" w:bidi="ar"/>
        </w:rPr>
        <w:t>并依法查处，视情节取消相关优惠政策，并向社会公开。</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3"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楷体_GB2312" w:hAnsi="Calibri" w:eastAsia="楷体_GB2312" w:cs="楷体_GB2312"/>
          <w:b/>
          <w:bCs/>
          <w:caps w:val="0"/>
          <w:color w:val="auto"/>
          <w:kern w:val="2"/>
          <w:sz w:val="32"/>
          <w:szCs w:val="32"/>
          <w:vertAlign w:val="baseline"/>
          <w:lang w:val="en-US" w:eastAsia="zh-CN" w:bidi="ar"/>
        </w:rPr>
        <w:t>（五）加强宣传引导。</w:t>
      </w:r>
      <w:r>
        <w:rPr>
          <w:rFonts w:hint="eastAsia" w:ascii="仿宋_GB2312" w:hAnsi="Calibri" w:eastAsia="仿宋_GB2312" w:cs="仿宋_GB2312"/>
          <w:b w:val="0"/>
          <w:bCs w:val="0"/>
          <w:caps w:val="0"/>
          <w:color w:val="auto"/>
          <w:kern w:val="2"/>
          <w:sz w:val="32"/>
          <w:szCs w:val="32"/>
          <w:vertAlign w:val="baseline"/>
          <w:lang w:val="en-US" w:eastAsia="zh-CN" w:bidi="ar"/>
        </w:rPr>
        <w:t>做好政策解读和宣贯，营造有利于开展水泥行业超低排放改造的良好舆论氛围，增强企业开展超低排放改造的责任感和荣誉感。各级有关部门要积极跟踪相关舆情动态，及时回应社会关切，宣传报道地方和企业的优秀做法。各地应将完成超低排放改造的水泥企业名单向社会公开，接受社会监督。</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default" w:ascii="仿宋_GB2312" w:hAnsi="Calibri" w:eastAsia="仿宋_GB2312" w:cs="仿宋_GB2312"/>
          <w:caps w:val="0"/>
          <w:color w:val="auto"/>
          <w:sz w:val="32"/>
          <w:szCs w:val="32"/>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附件：1.水泥企业超低排放指标限值</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1600" w:firstLineChars="5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2.无组织排放控制措施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1600" w:firstLineChars="500"/>
        <w:jc w:val="both"/>
        <w:textAlignment w:val="auto"/>
        <w:outlineLvl w:val="9"/>
        <w:rPr>
          <w:rFonts w:hint="eastAsia" w:ascii="仿宋_GB2312" w:hAnsi="Calibri" w:eastAsia="仿宋_GB2312" w:cs="仿宋_GB2312"/>
          <w:caps w:val="0"/>
          <w:color w:val="auto"/>
          <w:sz w:val="32"/>
          <w:szCs w:val="32"/>
          <w:vertAlign w:val="baseline"/>
        </w:rPr>
      </w:pPr>
      <w:r>
        <w:rPr>
          <w:rFonts w:hint="eastAsia" w:ascii="仿宋_GB2312" w:hAnsi="Calibri" w:eastAsia="仿宋_GB2312" w:cs="仿宋_GB2312"/>
          <w:b w:val="0"/>
          <w:bCs w:val="0"/>
          <w:caps w:val="0"/>
          <w:color w:val="auto"/>
          <w:kern w:val="2"/>
          <w:sz w:val="32"/>
          <w:szCs w:val="32"/>
          <w:vertAlign w:val="baseline"/>
          <w:lang w:val="en-US" w:eastAsia="zh-CN" w:bidi="ar"/>
        </w:rPr>
        <w:t>3.污染物排放监测监控安装点位</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1600" w:firstLineChars="500"/>
        <w:jc w:val="both"/>
        <w:textAlignment w:val="auto"/>
        <w:outlineLvl w:val="9"/>
        <w:rPr>
          <w:rFonts w:hint="eastAsia" w:ascii="仿宋_GB2312" w:hAnsi="Calibri" w:eastAsia="仿宋_GB2312" w:cs="仿宋_GB2312"/>
          <w:caps w:val="0"/>
          <w:color w:val="auto"/>
          <w:kern w:val="2"/>
          <w:sz w:val="32"/>
          <w:szCs w:val="32"/>
          <w:vertAlign w:val="baseline"/>
          <w:lang w:val="en-US" w:eastAsia="zh-CN"/>
        </w:rPr>
      </w:pPr>
      <w:r>
        <w:rPr>
          <w:rFonts w:hint="eastAsia" w:ascii="仿宋_GB2312" w:hAnsi="Calibri" w:eastAsia="仿宋_GB2312" w:cs="仿宋_GB2312"/>
          <w:b w:val="0"/>
          <w:bCs w:val="0"/>
          <w:caps w:val="0"/>
          <w:color w:val="auto"/>
          <w:kern w:val="2"/>
          <w:sz w:val="32"/>
          <w:szCs w:val="32"/>
          <w:vertAlign w:val="baseline"/>
          <w:lang w:val="en-US" w:eastAsia="zh-CN" w:bidi="ar"/>
        </w:rPr>
        <w:t>4.分布式控制系统（DCS）关键系数</w:t>
      </w:r>
    </w:p>
    <w:p>
      <w:pPr>
        <w:keepNext w:val="0"/>
        <w:keepLines w:val="0"/>
        <w:pageBreakBefore w:val="0"/>
        <w:widowControl w:val="0"/>
        <w:kinsoku/>
        <w:wordWrap/>
        <w:overflowPunct/>
        <w:topLinePunct w:val="0"/>
        <w:autoSpaceDE/>
        <w:bidi w:val="0"/>
        <w:adjustRightInd w:val="0"/>
        <w:snapToGrid w:val="0"/>
        <w:spacing w:line="360" w:lineRule="auto"/>
        <w:ind w:firstLine="640" w:firstLineChars="200"/>
        <w:jc w:val="both"/>
        <w:textAlignment w:val="auto"/>
        <w:sectPr>
          <w:headerReference r:id="rId5" w:type="first"/>
          <w:footerReference r:id="rId8" w:type="first"/>
          <w:headerReference r:id="rId3" w:type="default"/>
          <w:footerReference r:id="rId6" w:type="default"/>
          <w:headerReference r:id="rId4" w:type="even"/>
          <w:footerReference r:id="rId7" w:type="even"/>
          <w:pgSz w:w="11907" w:h="16838"/>
          <w:pgMar w:top="2098" w:right="1587" w:bottom="2098" w:left="1587" w:header="851" w:footer="1701" w:gutter="1"/>
          <w:pgNumType w:fmt="numberInDash"/>
          <w:cols w:space="720" w:num="1"/>
          <w:docGrid w:type="lines" w:linePitch="435" w:charSpace="0"/>
        </w:sectPr>
      </w:pP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00" w:lineRule="auto"/>
        <w:ind w:left="0" w:right="0" w:firstLine="0"/>
        <w:jc w:val="both"/>
        <w:outlineLvl w:val="9"/>
        <w:rPr>
          <w:rFonts w:hint="eastAsia" w:ascii="黑体" w:hAnsi="宋体" w:eastAsia="黑体" w:cs="黑体"/>
          <w:caps w:val="0"/>
          <w:color w:val="auto"/>
          <w:sz w:val="32"/>
          <w:szCs w:val="22"/>
          <w:vertAlign w:val="baseline"/>
        </w:rPr>
      </w:pPr>
      <w:r>
        <w:rPr>
          <w:rFonts w:hint="eastAsia" w:ascii="黑体" w:hAnsi="宋体" w:eastAsia="黑体" w:cs="黑体"/>
          <w:b w:val="0"/>
          <w:bCs w:val="0"/>
          <w:caps w:val="0"/>
          <w:color w:val="auto"/>
          <w:kern w:val="2"/>
          <w:sz w:val="32"/>
          <w:szCs w:val="22"/>
          <w:vertAlign w:val="baseline"/>
          <w:lang w:val="en-US" w:eastAsia="zh-CN" w:bidi="ar"/>
        </w:rPr>
        <w:t>附件1</w:t>
      </w:r>
    </w:p>
    <w:p>
      <w:pPr>
        <w:keepNext w:val="0"/>
        <w:keepLines w:val="0"/>
        <w:pageBreakBefore w:val="0"/>
        <w:widowControl/>
        <w:suppressLineNumbers w:val="0"/>
        <w:suppressAutoHyphens/>
        <w:kinsoku/>
        <w:wordWrap/>
        <w:overflowPunct/>
        <w:topLinePunct w:val="0"/>
        <w:autoSpaceDE/>
        <w:autoSpaceDN w:val="0"/>
        <w:bidi w:val="0"/>
        <w:adjustRightInd w:val="0"/>
        <w:snapToGrid w:val="0"/>
        <w:spacing w:before="0" w:beforeAutospacing="0" w:after="0" w:afterAutospacing="0" w:line="300" w:lineRule="auto"/>
        <w:ind w:left="0" w:right="0" w:firstLine="0"/>
        <w:jc w:val="center"/>
        <w:textAlignment w:val="auto"/>
        <w:outlineLvl w:val="9"/>
        <w:rPr>
          <w:rFonts w:hint="eastAsia" w:ascii="方正小标宋简体" w:hAnsi="方正小标宋简体" w:eastAsia="方正小标宋简体" w:cs="方正小标宋简体"/>
          <w:caps w:val="0"/>
          <w:color w:val="auto"/>
          <w:sz w:val="44"/>
          <w:szCs w:val="44"/>
          <w:vertAlign w:val="baseline"/>
        </w:rPr>
      </w:pPr>
      <w:r>
        <w:rPr>
          <w:rFonts w:ascii="方正小标宋简体" w:hAnsi="方正小标宋简体" w:eastAsia="方正小标宋简体" w:cs="方正小标宋简体"/>
          <w:b w:val="0"/>
          <w:bCs w:val="0"/>
          <w:caps w:val="0"/>
          <w:color w:val="auto"/>
          <w:kern w:val="2"/>
          <w:sz w:val="44"/>
          <w:szCs w:val="44"/>
          <w:vertAlign w:val="baseline"/>
          <w:lang w:val="en-US" w:eastAsia="zh-CN" w:bidi="ar"/>
        </w:rPr>
        <w:t>水泥企业超低排放指标限值</w:t>
      </w:r>
    </w:p>
    <w:tbl>
      <w:tblPr>
        <w:tblStyle w:val="10"/>
        <w:tblW w:w="0" w:type="auto"/>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1128"/>
        <w:gridCol w:w="1586"/>
        <w:gridCol w:w="1483"/>
        <w:gridCol w:w="991"/>
        <w:gridCol w:w="989"/>
        <w:gridCol w:w="1060"/>
        <w:gridCol w:w="1060"/>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43" w:right="0"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生产单元</w:t>
            </w:r>
          </w:p>
        </w:tc>
        <w:tc>
          <w:tcPr>
            <w:tcW w:w="1586"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right="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主要工艺</w:t>
            </w:r>
          </w:p>
        </w:tc>
        <w:tc>
          <w:tcPr>
            <w:tcW w:w="148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92" w:right="185"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基准氧含量</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92" w:right="183"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w:t>
            </w:r>
          </w:p>
        </w:tc>
        <w:tc>
          <w:tcPr>
            <w:tcW w:w="4100" w:type="dxa"/>
            <w:gridSpan w:val="4"/>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污染物项目(毫克/立方米)</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58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59" w:right="148"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颗粒物</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53" w:right="42"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二氧化硫</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89" w:right="77"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氮氧化物</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413" w:firstLine="0"/>
              <w:jc w:val="center"/>
              <w:outlineLvl w:val="9"/>
              <w:rPr>
                <w:rFonts w:hint="eastAsia" w:ascii="黑体" w:hAnsi="宋体" w:eastAsia="黑体" w:cs="黑体"/>
                <w:bCs/>
                <w:caps w:val="0"/>
                <w:color w:val="auto"/>
                <w:sz w:val="21"/>
                <w:szCs w:val="21"/>
                <w:vertAlign w:val="baseline"/>
              </w:rPr>
            </w:pPr>
            <w:r>
              <w:rPr>
                <w:rFonts w:hint="eastAsia" w:ascii="黑体" w:eastAsia="黑体" w:cs="黑体"/>
                <w:bCs/>
                <w:caps w:val="0"/>
                <w:color w:val="auto"/>
                <w:w w:val="99"/>
                <w:sz w:val="21"/>
                <w:szCs w:val="21"/>
                <w:vertAlign w:val="baseline"/>
                <w:lang w:val="en-US" w:eastAsia="zh-CN"/>
              </w:rPr>
              <w:t xml:space="preserve">    </w:t>
            </w:r>
            <w:r>
              <w:rPr>
                <w:rFonts w:hint="eastAsia" w:ascii="黑体" w:hAnsi="宋体" w:eastAsia="黑体" w:cs="黑体"/>
                <w:bCs/>
                <w:caps w:val="0"/>
                <w:color w:val="auto"/>
                <w:w w:val="99"/>
                <w:sz w:val="21"/>
                <w:szCs w:val="21"/>
                <w:vertAlign w:val="baseline"/>
              </w:rPr>
              <w:t>氨</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outlineLvl w:val="9"/>
              <w:rPr>
                <w:rFonts w:hint="eastAsia" w:ascii="仿宋_GB2312" w:eastAsia="仿宋_GB2312" w:cs="仿宋_GB2312"/>
                <w:caps w:val="0"/>
                <w:color w:val="auto"/>
                <w:sz w:val="20"/>
                <w:szCs w:val="20"/>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outlineLvl w:val="9"/>
              <w:rPr>
                <w:rFonts w:hint="eastAsia" w:ascii="仿宋_GB2312" w:eastAsia="仿宋_GB2312" w:cs="仿宋_GB2312"/>
                <w:caps w:val="0"/>
                <w:color w:val="auto"/>
                <w:sz w:val="20"/>
                <w:szCs w:val="20"/>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outlineLvl w:val="9"/>
              <w:rPr>
                <w:rFonts w:hint="eastAsia" w:ascii="仿宋_GB2312" w:eastAsia="仿宋_GB2312" w:cs="仿宋_GB2312"/>
                <w:caps w:val="0"/>
                <w:color w:val="auto"/>
                <w:sz w:val="20"/>
                <w:szCs w:val="20"/>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7" w:beforeAutospacing="0" w:after="0" w:afterAutospacing="0" w:line="240" w:lineRule="auto"/>
              <w:ind w:left="0" w:right="0" w:firstLine="0"/>
              <w:jc w:val="left"/>
              <w:outlineLvl w:val="9"/>
              <w:rPr>
                <w:rFonts w:hint="eastAsia" w:ascii="仿宋_GB2312" w:eastAsia="仿宋_GB2312" w:cs="仿宋_GB2312"/>
                <w:caps w:val="0"/>
                <w:color w:val="auto"/>
                <w:sz w:val="26"/>
                <w:szCs w:val="2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43"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熟料生产</w:t>
            </w: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2"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破碎系统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42" w:right="13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贮存及预均化</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42" w:right="13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4"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生料制备系统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2"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煤粉制备系统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36" w:beforeAutospacing="0" w:after="0" w:afterAutospacing="0" w:line="240" w:lineRule="auto"/>
              <w:ind w:left="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lang w:eastAsia="zh-CN"/>
              </w:rPr>
              <w:t>水泥窑及窑尾余热利用</w:t>
            </w:r>
            <w:r>
              <w:rPr>
                <w:rFonts w:hint="eastAsia" w:ascii="仿宋_GB2312" w:eastAsia="仿宋_GB2312" w:cs="仿宋_GB2312"/>
                <w:caps w:val="0"/>
                <w:color w:val="auto"/>
                <w:sz w:val="21"/>
                <w:szCs w:val="21"/>
                <w:vertAlign w:val="baseline"/>
              </w:rPr>
              <w:t>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92" w:right="181"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53" w:right="4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35</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89" w:right="76"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lang w:val="en-US" w:eastAsia="zh-CN"/>
              </w:rPr>
              <w:t>5</w:t>
            </w:r>
            <w:r>
              <w:rPr>
                <w:rFonts w:hint="eastAsia" w:ascii="仿宋_GB2312" w:eastAsia="仿宋_GB2312" w:cs="仿宋_GB2312"/>
                <w:caps w:val="0"/>
                <w:color w:val="auto"/>
                <w:sz w:val="21"/>
                <w:szCs w:val="21"/>
                <w:vertAlign w:val="baseline"/>
              </w:rPr>
              <w:t>0</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5" w:beforeAutospacing="0" w:after="0" w:afterAutospacing="0" w:line="240" w:lineRule="auto"/>
              <w:ind w:left="0" w:right="0" w:firstLine="0"/>
              <w:jc w:val="left"/>
              <w:outlineLvl w:val="9"/>
              <w:rPr>
                <w:rFonts w:hint="eastAsia" w:ascii="仿宋_GB2312" w:eastAsia="仿宋_GB2312" w:cs="仿宋_GB2312"/>
                <w:caps w:val="0"/>
                <w:color w:val="auto"/>
                <w:sz w:val="16"/>
                <w:szCs w:val="16"/>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464"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8</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3"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输送系统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outlineLvl w:val="9"/>
              <w:rPr>
                <w:rFonts w:hint="eastAsia" w:ascii="仿宋_GB2312" w:eastAsia="仿宋_GB2312" w:cs="仿宋_GB2312"/>
                <w:caps w:val="0"/>
                <w:color w:val="auto"/>
                <w:sz w:val="20"/>
                <w:szCs w:val="20"/>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outlineLvl w:val="9"/>
              <w:rPr>
                <w:rFonts w:hint="eastAsia" w:ascii="仿宋_GB2312" w:eastAsia="仿宋_GB2312" w:cs="仿宋_GB2312"/>
                <w:caps w:val="0"/>
                <w:color w:val="auto"/>
                <w:sz w:val="20"/>
                <w:szCs w:val="20"/>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outlineLvl w:val="9"/>
              <w:rPr>
                <w:rFonts w:hint="eastAsia" w:ascii="仿宋_GB2312" w:eastAsia="仿宋_GB2312" w:cs="仿宋_GB2312"/>
                <w:caps w:val="0"/>
                <w:color w:val="auto"/>
                <w:sz w:val="20"/>
                <w:szCs w:val="20"/>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2" w:beforeAutospacing="0" w:after="0" w:afterAutospacing="0" w:line="240" w:lineRule="auto"/>
              <w:ind w:left="0" w:right="0" w:firstLine="0"/>
              <w:jc w:val="left"/>
              <w:outlineLvl w:val="9"/>
              <w:rPr>
                <w:rFonts w:hint="eastAsia" w:ascii="仿宋_GB2312" w:eastAsia="仿宋_GB2312" w:cs="仿宋_GB2312"/>
                <w:caps w:val="0"/>
                <w:color w:val="auto"/>
                <w:sz w:val="29"/>
                <w:szCs w:val="29"/>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43"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水泥粉磨</w:t>
            </w: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2"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贮存系统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3"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破碎系统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仿宋" w:cs="宋体"/>
                <w:caps w:val="0"/>
                <w:color w:val="auto"/>
                <w:sz w:val="24"/>
                <w:szCs w:val="24"/>
                <w:vertAlign w:val="baseline"/>
                <w:lang w:bidi="ar"/>
              </w:rPr>
            </w:pPr>
            <w:r>
              <w:rPr>
                <w:rFonts w:hint="eastAsia" w:ascii="仿宋_GB2312" w:hAnsi="Calibri" w:eastAsia="仿宋_GB2312" w:cs="仿宋_GB2312"/>
                <w:b w:val="0"/>
                <w:bCs w:val="0"/>
                <w:caps w:val="0"/>
                <w:color w:val="auto"/>
                <w:kern w:val="2"/>
                <w:sz w:val="21"/>
                <w:szCs w:val="21"/>
                <w:vertAlign w:val="baseline"/>
                <w:lang w:val="en-US" w:eastAsia="zh-CN" w:bidi="ar"/>
              </w:rPr>
              <w:t>烘干系统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2" w:beforeAutospacing="0" w:after="0" w:afterAutospacing="0" w:line="240" w:lineRule="auto"/>
              <w:ind w:left="192" w:right="18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r>
              <w:rPr>
                <w:rFonts w:hint="eastAsia" w:ascii="仿宋_GB2312" w:eastAsia="仿宋_GB2312" w:cs="仿宋_GB2312"/>
                <w:caps w:val="0"/>
                <w:color w:val="auto"/>
                <w:sz w:val="21"/>
                <w:szCs w:val="21"/>
                <w:vertAlign w:val="superscript"/>
                <w:lang w:val="en-US" w:eastAsia="zh-CN"/>
              </w:rPr>
              <w:t>a</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53" w:right="4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35</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89" w:right="77"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50</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4" w:beforeAutospacing="0" w:after="0" w:afterAutospacing="0" w:line="240" w:lineRule="auto"/>
              <w:ind w:left="192" w:right="182" w:firstLine="0"/>
              <w:jc w:val="center"/>
              <w:outlineLvl w:val="9"/>
              <w:rPr>
                <w:rFonts w:hint="eastAsia" w:ascii="仿宋_GB2312" w:eastAsia="仿宋_GB2312" w:cs="仿宋_GB2312"/>
                <w:caps w:val="0"/>
                <w:color w:val="auto"/>
                <w:sz w:val="21"/>
                <w:szCs w:val="21"/>
                <w:vertAlign w:val="baseline"/>
                <w:lang w:eastAsia="zh-CN"/>
              </w:rPr>
            </w:pPr>
            <w:r>
              <w:rPr>
                <w:rFonts w:hint="eastAsia" w:ascii="仿宋_GB2312" w:eastAsia="仿宋_GB2312" w:cs="仿宋_GB2312"/>
                <w:caps w:val="0"/>
                <w:color w:val="auto"/>
                <w:sz w:val="21"/>
                <w:szCs w:val="21"/>
                <w:vertAlign w:val="baseline"/>
              </w:rPr>
              <w:t xml:space="preserve">实测值 </w:t>
            </w:r>
            <w:r>
              <w:rPr>
                <w:rFonts w:hint="eastAsia" w:ascii="仿宋_GB2312" w:eastAsia="仿宋_GB2312" w:cs="仿宋_GB2312"/>
                <w:caps w:val="0"/>
                <w:color w:val="auto"/>
                <w:sz w:val="21"/>
                <w:szCs w:val="21"/>
                <w:vertAlign w:val="superscript"/>
                <w:lang w:val="en-US" w:eastAsia="zh-CN"/>
              </w:rPr>
              <w:t>b</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6"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3"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水泥粉磨系统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2"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水泥包装系统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6"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Calibri" w:eastAsia="仿宋" w:cs="Arial"/>
                <w:sz w:val="24"/>
                <w:szCs w:val="24"/>
              </w:rPr>
            </w:pPr>
          </w:p>
        </w:tc>
        <w:tc>
          <w:tcPr>
            <w:tcW w:w="158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3" w:beforeAutospacing="0" w:after="0" w:afterAutospacing="0" w:line="240" w:lineRule="auto"/>
              <w:ind w:left="143" w:right="13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输送系统</w:t>
            </w:r>
          </w:p>
        </w:tc>
        <w:tc>
          <w:tcPr>
            <w:tcW w:w="148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99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59" w:right="148"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10</w:t>
            </w:r>
          </w:p>
        </w:tc>
        <w:tc>
          <w:tcPr>
            <w:tcW w:w="989"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12"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c>
          <w:tcPr>
            <w:tcW w:w="1060"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97" w:beforeAutospacing="0" w:after="0" w:afterAutospacing="0" w:line="240" w:lineRule="auto"/>
              <w:ind w:left="0" w:right="412" w:firstLine="0"/>
              <w:jc w:val="righ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1217" w:hRule="atLeast"/>
          <w:jc w:val="center"/>
        </w:trPr>
        <w:tc>
          <w:tcPr>
            <w:tcW w:w="8297" w:type="dxa"/>
            <w:gridSpan w:val="7"/>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36" w:beforeAutospacing="0" w:after="0" w:afterAutospacing="0" w:line="240" w:lineRule="auto"/>
              <w:ind w:left="107" w:right="0" w:firstLine="0"/>
              <w:jc w:val="left"/>
              <w:outlineLvl w:val="9"/>
              <w:rPr>
                <w:rFonts w:hint="eastAsia" w:ascii="宋体" w:hAnsi="宋体" w:eastAsia="宋体" w:cs="宋体"/>
                <w:caps w:val="0"/>
                <w:color w:val="auto"/>
                <w:sz w:val="22"/>
                <w:szCs w:val="22"/>
                <w:vertAlign w:val="baseline"/>
                <w:lang w:bidi="ar"/>
              </w:rPr>
            </w:pPr>
            <w:r>
              <w:rPr>
                <w:rFonts w:hint="eastAsia" w:ascii="宋体" w:hAnsi="宋体" w:eastAsia="宋体" w:cs="宋体"/>
                <w:caps w:val="0"/>
                <w:color w:val="auto"/>
                <w:sz w:val="22"/>
                <w:szCs w:val="22"/>
                <w:vertAlign w:val="baseline"/>
                <w:lang w:bidi="ar"/>
              </w:rPr>
              <w:t xml:space="preserve">  a 采用水泥窑窑尾烟气余热</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36" w:beforeAutospacing="0" w:after="0" w:afterAutospacing="0" w:line="240" w:lineRule="auto"/>
              <w:ind w:left="107" w:right="0" w:firstLine="220" w:firstLineChars="100"/>
              <w:jc w:val="left"/>
              <w:outlineLvl w:val="9"/>
              <w:rPr>
                <w:rFonts w:hint="eastAsia" w:ascii="宋体" w:hAnsi="宋体" w:eastAsia="宋体" w:cs="宋体"/>
                <w:caps w:val="0"/>
                <w:color w:val="auto"/>
                <w:sz w:val="22"/>
                <w:szCs w:val="22"/>
                <w:vertAlign w:val="baseline"/>
                <w:lang w:bidi="ar"/>
              </w:rPr>
            </w:pPr>
            <w:r>
              <w:rPr>
                <w:rFonts w:hint="eastAsia" w:ascii="宋体" w:hAnsi="宋体" w:eastAsia="宋体" w:cs="宋体"/>
                <w:caps w:val="0"/>
                <w:color w:val="auto"/>
                <w:sz w:val="22"/>
                <w:szCs w:val="22"/>
                <w:vertAlign w:val="baseline"/>
                <w:lang w:bidi="ar"/>
              </w:rPr>
              <w:t>b 采用窑头余热</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36" w:beforeAutospacing="0" w:after="0" w:afterAutospacing="0" w:line="240" w:lineRule="auto"/>
              <w:ind w:left="107" w:right="0" w:firstLine="220" w:firstLineChars="100"/>
              <w:jc w:val="left"/>
              <w:outlineLvl w:val="9"/>
              <w:rPr>
                <w:rFonts w:hint="eastAsia" w:ascii="宋体" w:hAnsi="宋体" w:eastAsia="仿宋_GB2312" w:cs="宋体"/>
                <w:caps w:val="0"/>
                <w:color w:val="auto"/>
                <w:sz w:val="22"/>
                <w:szCs w:val="22"/>
                <w:vertAlign w:val="baseline"/>
                <w:lang w:eastAsia="zh-CN" w:bidi="ar"/>
              </w:rPr>
            </w:pPr>
            <w:r>
              <w:rPr>
                <w:rFonts w:hint="eastAsia" w:ascii="宋体" w:hAnsi="宋体" w:eastAsia="宋体" w:cs="宋体"/>
                <w:caps w:val="0"/>
                <w:color w:val="auto"/>
                <w:sz w:val="22"/>
                <w:szCs w:val="22"/>
                <w:vertAlign w:val="baseline"/>
                <w:lang w:eastAsia="zh-CN" w:bidi="ar"/>
              </w:rPr>
              <w:t>表中未作规定的按国家</w:t>
            </w:r>
            <w:r>
              <w:rPr>
                <w:rFonts w:hint="eastAsia" w:cs="宋体"/>
                <w:caps w:val="0"/>
                <w:color w:val="auto"/>
                <w:sz w:val="22"/>
                <w:szCs w:val="22"/>
                <w:vertAlign w:val="baseline"/>
                <w:lang w:eastAsia="zh-CN" w:bidi="ar"/>
              </w:rPr>
              <w:t>及地方</w:t>
            </w:r>
            <w:r>
              <w:rPr>
                <w:rFonts w:hint="eastAsia" w:ascii="宋体" w:hAnsi="宋体" w:eastAsia="宋体" w:cs="宋体"/>
                <w:caps w:val="0"/>
                <w:color w:val="auto"/>
                <w:sz w:val="22"/>
                <w:szCs w:val="22"/>
                <w:vertAlign w:val="baseline"/>
                <w:lang w:eastAsia="zh-CN" w:bidi="ar"/>
              </w:rPr>
              <w:t>标准执行</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黑体" w:hAnsi="宋体" w:eastAsia="黑体" w:cs="黑体"/>
          <w:caps w:val="0"/>
          <w:color w:val="auto"/>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0"/>
        <w:jc w:val="left"/>
        <w:outlineLvl w:val="9"/>
        <w:rPr>
          <w:rFonts w:hint="eastAsia" w:ascii="黑体" w:hAnsi="宋体" w:eastAsia="黑体" w:cs="黑体"/>
          <w:caps w:val="0"/>
          <w:color w:val="auto"/>
          <w:kern w:val="2"/>
          <w:sz w:val="21"/>
          <w:szCs w:val="21"/>
          <w:vertAlign w:val="baseline"/>
          <w:lang w:val="en-US" w:eastAsia="zh-CN"/>
        </w:rPr>
      </w:pP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黑体" w:hAnsi="宋体" w:eastAsia="黑体" w:cs="黑体"/>
          <w:caps w:val="0"/>
          <w:color w:val="auto"/>
          <w:kern w:val="2"/>
          <w:sz w:val="21"/>
          <w:szCs w:val="21"/>
          <w:vertAlign w:val="baseline"/>
          <w:lang w:val="en-US" w:eastAsia="zh-CN"/>
        </w:rPr>
      </w:pP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方正小标宋简体" w:hAnsi="方正小标宋简体" w:eastAsia="方正小标宋简体" w:cs="方正小标宋简体"/>
          <w:caps w:val="0"/>
          <w:color w:val="auto"/>
          <w:kern w:val="2"/>
          <w:sz w:val="44"/>
          <w:szCs w:val="44"/>
          <w:vertAlign w:val="baseline"/>
          <w:lang w:val="en-US" w:eastAsia="zh-CN"/>
        </w:rPr>
      </w:pPr>
      <w:r>
        <w:rPr>
          <w:rFonts w:hint="eastAsia" w:ascii="黑体" w:hAnsi="宋体" w:eastAsia="黑体" w:cs="黑体"/>
          <w:b w:val="0"/>
          <w:bCs w:val="0"/>
          <w:caps w:val="0"/>
          <w:color w:val="auto"/>
          <w:kern w:val="2"/>
          <w:sz w:val="21"/>
          <w:szCs w:val="21"/>
          <w:vertAlign w:val="baseline"/>
          <w:lang w:val="en-US" w:eastAsia="zh-CN" w:bidi="ar"/>
        </w:rPr>
        <w:br w:type="page"/>
      </w:r>
      <w:r>
        <w:rPr>
          <w:rFonts w:hint="eastAsia" w:ascii="黑体" w:hAnsi="宋体" w:eastAsia="黑体" w:cs="黑体"/>
          <w:b w:val="0"/>
          <w:bCs w:val="0"/>
          <w:caps w:val="0"/>
          <w:color w:val="auto"/>
          <w:kern w:val="2"/>
          <w:sz w:val="32"/>
          <w:szCs w:val="22"/>
          <w:vertAlign w:val="baseline"/>
          <w:lang w:val="en-US" w:eastAsia="zh-CN" w:bidi="ar"/>
        </w:rPr>
        <w:t>附件2</w:t>
      </w:r>
    </w:p>
    <w:p>
      <w:pPr>
        <w:keepNext w:val="0"/>
        <w:keepLines w:val="0"/>
        <w:pageBreakBefore w:val="0"/>
        <w:widowControl/>
        <w:suppressLineNumbers w:val="0"/>
        <w:suppressAutoHyphens/>
        <w:kinsoku/>
        <w:wordWrap/>
        <w:overflowPunct/>
        <w:topLinePunct w:val="0"/>
        <w:autoSpaceDE/>
        <w:autoSpaceDN w:val="0"/>
        <w:bidi w:val="0"/>
        <w:adjustRightInd w:val="0"/>
        <w:snapToGrid w:val="0"/>
        <w:spacing w:before="0" w:beforeAutospacing="0" w:after="0" w:afterAutospacing="0" w:line="300" w:lineRule="auto"/>
        <w:ind w:left="0" w:right="0" w:firstLine="0"/>
        <w:jc w:val="center"/>
        <w:outlineLvl w:val="9"/>
        <w:rPr>
          <w:rFonts w:hint="eastAsia" w:ascii="方正小标宋简体" w:hAnsi="方正小标宋简体" w:eastAsia="方正小标宋简体" w:cs="方正小标宋简体"/>
          <w:caps w:val="0"/>
          <w:color w:val="auto"/>
          <w:kern w:val="2"/>
          <w:sz w:val="44"/>
          <w:szCs w:val="44"/>
          <w:vertAlign w:val="baseline"/>
          <w:lang w:val="en-US" w:eastAsia="zh-CN"/>
        </w:rPr>
      </w:pPr>
      <w:r>
        <w:rPr>
          <w:rFonts w:hint="eastAsia" w:ascii="方正小标宋简体" w:hAnsi="方正小标宋简体" w:eastAsia="方正小标宋简体" w:cs="方正小标宋简体"/>
          <w:b w:val="0"/>
          <w:bCs w:val="0"/>
          <w:caps w:val="0"/>
          <w:color w:val="auto"/>
          <w:kern w:val="2"/>
          <w:sz w:val="44"/>
          <w:szCs w:val="44"/>
          <w:vertAlign w:val="baseline"/>
          <w:lang w:val="en-US" w:eastAsia="zh-CN" w:bidi="ar"/>
        </w:rPr>
        <w:t>无组织排放控制措施</w:t>
      </w:r>
    </w:p>
    <w:tbl>
      <w:tblPr>
        <w:tblStyle w:val="10"/>
        <w:tblW w:w="0" w:type="auto"/>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979"/>
        <w:gridCol w:w="1943"/>
        <w:gridCol w:w="5376"/>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310" w:firstLine="210" w:firstLineChars="100"/>
              <w:jc w:val="left"/>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序号</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504" w:right="0"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主要环节</w:t>
            </w:r>
          </w:p>
        </w:tc>
        <w:tc>
          <w:tcPr>
            <w:tcW w:w="5376"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245" w:right="2237"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控制措施</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2815"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506"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物料储存 </w:t>
            </w:r>
          </w:p>
        </w:tc>
        <w:tc>
          <w:tcPr>
            <w:tcW w:w="537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石灰石、页岩、泥岩、煤矸石、原煤等原（燃）料在满足安全生产的条件下，在全封闭式料棚内存放。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熟料全部封闭储存。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生料、粉煤灰、矿渣微粉、成品水泥等粉状物料应采用密闭料仓、储罐等方式密闭储存。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协同处置固体废物的，其贮存设施应采用封闭措施，确保其中有生活垃圾或污泥存放时处于负压状态；贮存设施内抽取的空气应导入水泥窑高温区焚烧处理，或经过其他处理措施达标后排放。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料棚（不含熟料）安装喷干雾抑尘设施，棚内地面硬</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化，出入口安装自动门。</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1624"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2</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506"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物料输送 </w:t>
            </w:r>
          </w:p>
        </w:tc>
        <w:tc>
          <w:tcPr>
            <w:tcW w:w="537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散状原（燃）料卸车、上料、配料、输送在确保安全的情况下密闭作业。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运输皮带、斗提、斜槽等应全封闭，各转载、下料口等产尘点应设置集气罩并配置高效袋式除尘器。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库顶等泄压口配备高效袋式除尘器。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除尘灰采用</w:t>
            </w:r>
            <w:r>
              <w:rPr>
                <w:rFonts w:hint="eastAsia" w:ascii="仿宋_GB2312" w:eastAsia="仿宋_GB2312" w:cs="仿宋_GB2312"/>
                <w:caps w:val="0"/>
                <w:color w:val="auto"/>
                <w:sz w:val="21"/>
                <w:szCs w:val="21"/>
                <w:vertAlign w:val="baseline"/>
                <w:lang w:eastAsia="zh-CN"/>
              </w:rPr>
              <w:t>负压</w:t>
            </w:r>
            <w:r>
              <w:rPr>
                <w:rFonts w:hint="eastAsia" w:ascii="仿宋_GB2312" w:eastAsia="仿宋_GB2312" w:cs="仿宋_GB2312"/>
                <w:caps w:val="0"/>
                <w:color w:val="auto"/>
                <w:sz w:val="21"/>
                <w:szCs w:val="21"/>
                <w:vertAlign w:val="baseline"/>
              </w:rPr>
              <w:t>、罐车等密闭方式运输。</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2712"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3</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506"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生产工艺 </w:t>
            </w:r>
          </w:p>
        </w:tc>
        <w:tc>
          <w:tcPr>
            <w:tcW w:w="537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both"/>
              <w:outlineLvl w:val="9"/>
              <w:rPr>
                <w:rFonts w:hint="eastAsia" w:ascii="仿宋_GB2312" w:eastAsia="仿宋_GB2312" w:cs="仿宋_GB2312"/>
                <w:caps w:val="0"/>
                <w:color w:val="auto"/>
                <w:sz w:val="21"/>
                <w:szCs w:val="21"/>
                <w:vertAlign w:val="baseline"/>
                <w:lang w:eastAsia="zh-CN"/>
              </w:rPr>
            </w:pPr>
            <w:r>
              <w:rPr>
                <w:rFonts w:hint="eastAsia" w:ascii="仿宋_GB2312" w:eastAsia="仿宋_GB2312" w:cs="仿宋_GB2312"/>
                <w:caps w:val="0"/>
                <w:color w:val="auto"/>
                <w:sz w:val="21"/>
                <w:szCs w:val="21"/>
                <w:vertAlign w:val="baseline"/>
              </w:rPr>
              <w:t>石灰石、石膏、熟料、煤、混合材等物料厂内破碎时， 应在破碎机进料口设置集气罩，出料口采用密闭装置， 并配备除尘设施。</w:t>
            </w:r>
            <w:r>
              <w:rPr>
                <w:rFonts w:hint="eastAsia" w:ascii="仿宋_GB2312" w:eastAsia="仿宋_GB2312" w:cs="仿宋_GB2312"/>
                <w:caps w:val="0"/>
                <w:color w:val="auto"/>
                <w:sz w:val="21"/>
                <w:szCs w:val="21"/>
                <w:vertAlign w:val="baseline"/>
                <w:lang w:eastAsia="zh-CN"/>
              </w:rPr>
              <w:t>石膏等粘湿物料下料口安装雾化喷淋装置。</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磨前喂料装置、烘干机与集气罩的连接处应密闭，卸料口和除尘器出灰口应安装锁风装置。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窑系统应保持微负压，定期检查。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熟料冷却机卸料口应设置集气罩，并配备除尘设施。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216"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pacing w:val="0"/>
                <w:sz w:val="21"/>
                <w:szCs w:val="21"/>
                <w:vertAlign w:val="baseline"/>
              </w:rPr>
              <w:t>氨水或液氨使用专用密闭罐车运输，配套氨气回收或吸</w:t>
            </w:r>
            <w:r>
              <w:rPr>
                <w:rFonts w:hint="eastAsia" w:ascii="仿宋_GB2312" w:eastAsia="仿宋_GB2312" w:cs="仿宋_GB2312"/>
                <w:caps w:val="0"/>
                <w:color w:val="auto"/>
                <w:sz w:val="21"/>
                <w:szCs w:val="21"/>
                <w:vertAlign w:val="baseline"/>
              </w:rPr>
              <w:t xml:space="preserve">收回用装置。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氨水罐区及易泄露点位设置氨气泄露检测设施。</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1307" w:hRule="atLeast"/>
          <w:jc w:val="center"/>
        </w:trPr>
        <w:tc>
          <w:tcPr>
            <w:tcW w:w="979"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365" w:firstLine="420" w:firstLineChars="2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4</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716"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其他 </w:t>
            </w:r>
          </w:p>
        </w:tc>
        <w:tc>
          <w:tcPr>
            <w:tcW w:w="5376"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厂区道路应全部硬化，及时清扫、定期洒水。 </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7" w:right="163"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企业厂区出口和汽车运输料场出口处（料场口与厂区出</w:t>
            </w:r>
            <w:r>
              <w:rPr>
                <w:rFonts w:hint="eastAsia" w:ascii="仿宋_GB2312" w:eastAsia="仿宋_GB2312" w:cs="仿宋_GB2312"/>
                <w:caps w:val="0"/>
                <w:color w:val="auto"/>
                <w:spacing w:val="0"/>
                <w:sz w:val="21"/>
                <w:szCs w:val="21"/>
                <w:vertAlign w:val="baseline"/>
              </w:rPr>
              <w:t xml:space="preserve">口距离在 </w:t>
            </w:r>
            <w:r>
              <w:rPr>
                <w:rFonts w:hint="eastAsia" w:ascii="仿宋_GB2312" w:eastAsia="仿宋_GB2312" w:cs="仿宋_GB2312"/>
                <w:caps w:val="0"/>
                <w:color w:val="auto"/>
                <w:sz w:val="21"/>
                <w:szCs w:val="21"/>
                <w:vertAlign w:val="baseline"/>
              </w:rPr>
              <w:t>100</w:t>
            </w:r>
            <w:r>
              <w:rPr>
                <w:rFonts w:hint="eastAsia" w:ascii="仿宋_GB2312" w:eastAsia="仿宋_GB2312" w:cs="仿宋_GB2312"/>
                <w:caps w:val="0"/>
                <w:color w:val="auto"/>
                <w:spacing w:val="0"/>
                <w:sz w:val="21"/>
                <w:szCs w:val="21"/>
                <w:vertAlign w:val="baseline"/>
              </w:rPr>
              <w:t xml:space="preserve"> 米以内的可合并安装 </w:t>
            </w:r>
            <w:r>
              <w:rPr>
                <w:rFonts w:hint="eastAsia" w:ascii="仿宋_GB2312" w:eastAsia="仿宋_GB2312" w:cs="仿宋_GB2312"/>
                <w:caps w:val="0"/>
                <w:color w:val="auto"/>
                <w:sz w:val="21"/>
                <w:szCs w:val="21"/>
                <w:vertAlign w:val="baseline"/>
              </w:rPr>
              <w:t>1</w:t>
            </w:r>
            <w:r>
              <w:rPr>
                <w:rFonts w:hint="eastAsia" w:ascii="仿宋_GB2312" w:eastAsia="仿宋_GB2312" w:cs="仿宋_GB2312"/>
                <w:caps w:val="0"/>
                <w:color w:val="auto"/>
                <w:spacing w:val="0"/>
                <w:sz w:val="21"/>
                <w:szCs w:val="21"/>
                <w:vertAlign w:val="baseline"/>
              </w:rPr>
              <w:t xml:space="preserve"> 处洗车台</w:t>
            </w:r>
            <w:r>
              <w:rPr>
                <w:rFonts w:hint="eastAsia" w:ascii="仿宋_GB2312" w:eastAsia="仿宋_GB2312" w:cs="仿宋_GB2312"/>
                <w:caps w:val="0"/>
                <w:color w:val="auto"/>
                <w:sz w:val="21"/>
                <w:szCs w:val="21"/>
                <w:vertAlign w:val="baseline"/>
              </w:rPr>
              <w:t>）配备自动感应式高压清洗装置，对所有货物运输车辆的车轮、底盘进行冲洗。</w:t>
            </w:r>
          </w:p>
        </w:tc>
      </w:tr>
    </w:tbl>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240" w:lineRule="auto"/>
        <w:ind w:left="0" w:right="0" w:firstLine="210" w:firstLineChars="100"/>
        <w:jc w:val="both"/>
        <w:outlineLvl w:val="9"/>
        <w:rPr>
          <w:rFonts w:hint="eastAsia" w:ascii="黑体" w:hAnsi="宋体" w:eastAsia="黑体" w:cs="黑体"/>
          <w:caps w:val="0"/>
          <w:color w:val="auto"/>
          <w:sz w:val="32"/>
          <w:szCs w:val="22"/>
          <w:vertAlign w:val="baseline"/>
        </w:rPr>
      </w:pPr>
      <w:r>
        <w:rPr>
          <w:rFonts w:hint="eastAsia" w:ascii="仿宋_GB2312" w:hAnsi="Calibri" w:eastAsia="仿宋_GB2312" w:cs="仿宋_GB2312"/>
          <w:b w:val="0"/>
          <w:bCs w:val="0"/>
          <w:caps w:val="0"/>
          <w:color w:val="auto"/>
          <w:kern w:val="0"/>
          <w:sz w:val="21"/>
          <w:szCs w:val="21"/>
          <w:vertAlign w:val="baseline"/>
          <w:lang w:val="en-US" w:eastAsia="zh-CN" w:bidi="ar"/>
        </w:rPr>
        <w:br w:type="page"/>
      </w:r>
      <w:r>
        <w:rPr>
          <w:rFonts w:hint="eastAsia" w:ascii="黑体" w:hAnsi="宋体" w:eastAsia="黑体" w:cs="黑体"/>
          <w:b w:val="0"/>
          <w:bCs w:val="0"/>
          <w:caps w:val="0"/>
          <w:color w:val="auto"/>
          <w:kern w:val="2"/>
          <w:sz w:val="32"/>
          <w:szCs w:val="22"/>
          <w:vertAlign w:val="baseline"/>
          <w:lang w:val="en-US" w:eastAsia="zh-CN" w:bidi="ar"/>
        </w:rPr>
        <w:t>附件3</w:t>
      </w:r>
    </w:p>
    <w:p>
      <w:pPr>
        <w:keepNext w:val="0"/>
        <w:keepLines w:val="0"/>
        <w:pageBreakBefore w:val="0"/>
        <w:widowControl/>
        <w:suppressLineNumbers w:val="0"/>
        <w:suppressAutoHyphens/>
        <w:kinsoku/>
        <w:wordWrap/>
        <w:overflowPunct/>
        <w:topLinePunct w:val="0"/>
        <w:autoSpaceDE/>
        <w:autoSpaceDN w:val="0"/>
        <w:bidi w:val="0"/>
        <w:adjustRightInd w:val="0"/>
        <w:snapToGrid w:val="0"/>
        <w:spacing w:before="0" w:beforeAutospacing="0" w:after="0" w:afterAutospacing="0" w:line="300" w:lineRule="auto"/>
        <w:ind w:left="0" w:right="0" w:firstLine="0"/>
        <w:jc w:val="center"/>
        <w:outlineLvl w:val="9"/>
        <w:rPr>
          <w:rFonts w:hint="eastAsia" w:ascii="方正小标宋简体" w:hAnsi="方正小标宋简体" w:eastAsia="方正小标宋简体" w:cs="方正小标宋简体"/>
          <w:caps w:val="0"/>
          <w:color w:val="auto"/>
          <w:kern w:val="2"/>
          <w:sz w:val="44"/>
          <w:szCs w:val="44"/>
          <w:vertAlign w:val="baseline"/>
          <w:lang w:val="en-US" w:eastAsia="zh-CN"/>
        </w:rPr>
      </w:pPr>
      <w:r>
        <w:rPr>
          <w:rFonts w:hint="eastAsia" w:ascii="方正小标宋简体" w:hAnsi="方正小标宋简体" w:eastAsia="方正小标宋简体" w:cs="方正小标宋简体"/>
          <w:b w:val="0"/>
          <w:bCs w:val="0"/>
          <w:caps w:val="0"/>
          <w:color w:val="auto"/>
          <w:kern w:val="2"/>
          <w:sz w:val="44"/>
          <w:szCs w:val="44"/>
          <w:vertAlign w:val="baseline"/>
          <w:lang w:val="en-US" w:eastAsia="zh-CN" w:bidi="ar"/>
        </w:rPr>
        <w:t>污染物排放监测监控安装点位</w:t>
      </w:r>
    </w:p>
    <w:tbl>
      <w:tblPr>
        <w:tblStyle w:val="10"/>
        <w:tblW w:w="0" w:type="auto"/>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647"/>
        <w:gridCol w:w="1901"/>
        <w:gridCol w:w="1418"/>
        <w:gridCol w:w="4333"/>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64" w:beforeAutospacing="0" w:after="0" w:afterAutospacing="0" w:line="240" w:lineRule="auto"/>
              <w:ind w:left="0" w:right="101" w:firstLine="0"/>
              <w:jc w:val="right"/>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序号</w:t>
            </w:r>
          </w:p>
        </w:tc>
        <w:tc>
          <w:tcPr>
            <w:tcW w:w="1901"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64" w:beforeAutospacing="0" w:after="0" w:afterAutospacing="0" w:line="240" w:lineRule="auto"/>
              <w:ind w:left="526" w:right="0" w:firstLine="0"/>
              <w:jc w:val="left"/>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监控要求</w:t>
            </w:r>
          </w:p>
        </w:tc>
        <w:tc>
          <w:tcPr>
            <w:tcW w:w="1418"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64" w:beforeAutospacing="0" w:after="0" w:afterAutospacing="0" w:line="240" w:lineRule="auto"/>
              <w:ind w:left="114" w:right="3"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工序</w:t>
            </w:r>
            <w:r>
              <w:rPr>
                <w:rFonts w:hint="eastAsia" w:ascii="黑体" w:hAnsi="宋体" w:eastAsia="黑体" w:cs="黑体"/>
                <w:bCs/>
                <w:caps w:val="0"/>
                <w:color w:val="auto"/>
                <w:w w:val="99"/>
                <w:sz w:val="21"/>
                <w:szCs w:val="21"/>
                <w:vertAlign w:val="baseline"/>
              </w:rPr>
              <w:t xml:space="preserve"> </w:t>
            </w:r>
          </w:p>
        </w:tc>
        <w:tc>
          <w:tcPr>
            <w:tcW w:w="4333" w:type="dxa"/>
            <w:tcBorders>
              <w:top w:val="single" w:color="000000" w:sz="4" w:space="0"/>
              <w:left w:val="single" w:color="000000" w:sz="4" w:space="0"/>
              <w:bottom w:val="single" w:color="000000" w:sz="4" w:space="0"/>
              <w:right w:val="single" w:color="000000" w:sz="4" w:space="0"/>
            </w:tcBorders>
            <w:noWrap/>
            <w:vAlign w:val="top"/>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64" w:beforeAutospacing="0" w:after="0" w:afterAutospacing="0" w:line="240" w:lineRule="auto"/>
              <w:ind w:left="726" w:right="722"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安装点位</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1</w:t>
            </w:r>
          </w:p>
        </w:tc>
        <w:tc>
          <w:tcPr>
            <w:tcW w:w="190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烟气排放连续在线监测系统（CEMS）</w:t>
            </w:r>
            <w:r>
              <w:rPr>
                <w:rFonts w:hint="eastAsia" w:ascii="仿宋_GB2312" w:eastAsia="仿宋_GB2312" w:cs="仿宋_GB2312"/>
                <w:caps w:val="0"/>
                <w:color w:val="auto"/>
                <w:sz w:val="21"/>
                <w:szCs w:val="21"/>
                <w:vertAlign w:val="superscript"/>
                <w:lang w:val="en-US" w:eastAsia="zh-CN"/>
              </w:rPr>
              <w:t>a</w:t>
            </w:r>
            <w:r>
              <w:rPr>
                <w:rFonts w:hint="eastAsia" w:ascii="仿宋_GB2312" w:eastAsia="仿宋_GB2312" w:cs="仿宋_GB2312"/>
                <w:caps w:val="0"/>
                <w:color w:val="auto"/>
                <w:sz w:val="21"/>
                <w:szCs w:val="21"/>
                <w:vertAlign w:val="baseline"/>
              </w:rPr>
              <w:t xml:space="preserve"> </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熟料生产</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6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水泥窑及窑尾余热利用系统（窑尾）、冷却</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6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机（窑头）排气筒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煤磨</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722" w:firstLine="210" w:firstLineChars="1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煤磨独立排放口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水泥粉磨</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722" w:firstLine="210" w:firstLineChars="1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独立烘干系统、水泥磨排气筒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2</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83" w:beforeAutospacing="0" w:after="0" w:afterAutospacing="0" w:line="240" w:lineRule="auto"/>
              <w:ind w:left="213"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分布式控制系统</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37" w:beforeAutospacing="0" w:after="0" w:afterAutospacing="0" w:line="240" w:lineRule="auto"/>
              <w:ind w:left="581"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（DCS） </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熟料生产</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722" w:firstLine="210" w:firstLineChars="1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水泥窑、窑尾烟气处理系统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3</w:t>
            </w:r>
          </w:p>
        </w:tc>
        <w:tc>
          <w:tcPr>
            <w:tcW w:w="190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31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高清视频监控 </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77"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燃料、原料储</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81"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库（仓库）</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722" w:firstLine="210" w:firstLineChars="1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lang w:eastAsia="zh-CN"/>
              </w:rPr>
              <w:t>运</w:t>
            </w:r>
            <w:r>
              <w:rPr>
                <w:rFonts w:hint="eastAsia" w:ascii="仿宋_GB2312" w:eastAsia="仿宋_GB2312" w:cs="仿宋_GB2312"/>
                <w:caps w:val="0"/>
                <w:color w:val="auto"/>
                <w:sz w:val="21"/>
                <w:szCs w:val="21"/>
                <w:vertAlign w:val="baseline"/>
              </w:rPr>
              <w:t xml:space="preserve">输车辆进出口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熟料生产</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722" w:firstLine="210" w:firstLineChars="1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露天输送通道、成品装卸点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发运</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722" w:firstLine="210" w:firstLineChars="10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进出口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1"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69"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4</w:t>
            </w:r>
          </w:p>
        </w:tc>
        <w:tc>
          <w:tcPr>
            <w:tcW w:w="190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0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空气质量监测微站 </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outlineLvl w:val="9"/>
              <w:rPr>
                <w:rFonts w:hint="eastAsia" w:ascii="仿宋_GB2312" w:eastAsia="仿宋_GB2312" w:cs="仿宋_GB2312"/>
                <w:caps w:val="0"/>
                <w:color w:val="auto"/>
                <w:sz w:val="15"/>
                <w:szCs w:val="15"/>
                <w:vertAlign w:val="baseline"/>
              </w:rPr>
            </w:pP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厂区内部</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08" w:leftChars="65" w:right="722"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燃料、原料储库进出口，窑头、窑尾、水泥粉磨、发运等易产尘区域或车间进出口</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84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901"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Calibri" w:eastAsia="仿宋" w:cs="Arial"/>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77"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运输道路两侧</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08" w:leftChars="65" w:right="722"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厂区内部道路路口、长度超过 200 米的道路中部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1246"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5</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10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门禁和视频监控</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100"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系统</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114" w:right="2"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厂区</w:t>
            </w:r>
          </w:p>
        </w:tc>
        <w:tc>
          <w:tcPr>
            <w:tcW w:w="4333" w:type="dxa"/>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08" w:leftChars="65" w:right="722"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厂区进出口，参照《重污染天气重点行业移动源应急管理技术指南》建立门禁视频监控系统和电子台账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721" w:hRule="atLeast"/>
          <w:jc w:val="center"/>
        </w:trPr>
        <w:tc>
          <w:tcPr>
            <w:tcW w:w="8299" w:type="dxa"/>
            <w:gridSpan w:val="4"/>
            <w:tcBorders>
              <w:top w:val="single" w:color="000000" w:sz="4" w:space="0"/>
              <w:left w:val="single" w:color="000000" w:sz="4" w:space="0"/>
              <w:bottom w:val="single" w:color="000000" w:sz="4" w:space="0"/>
              <w:right w:val="single" w:color="000000" w:sz="4"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210" w:firstLineChars="100"/>
              <w:jc w:val="left"/>
              <w:outlineLvl w:val="9"/>
              <w:rPr>
                <w:rFonts w:hint="eastAsia" w:ascii="仿宋_GB2312" w:eastAsia="仿宋_GB2312" w:cs="仿宋_GB2312"/>
                <w:caps w:val="0"/>
                <w:color w:val="auto"/>
                <w:sz w:val="21"/>
                <w:szCs w:val="21"/>
                <w:vertAlign w:val="baseline"/>
                <w:lang w:val="en-US" w:eastAsia="zh-CN"/>
              </w:rPr>
            </w:pPr>
            <w:r>
              <w:rPr>
                <w:rFonts w:hint="eastAsia" w:ascii="仿宋_GB2312" w:eastAsia="仿宋_GB2312" w:cs="仿宋_GB2312"/>
                <w:caps w:val="0"/>
                <w:color w:val="auto"/>
                <w:sz w:val="21"/>
                <w:szCs w:val="21"/>
                <w:vertAlign w:val="baseline"/>
                <w:lang w:val="en-US" w:eastAsia="zh-CN"/>
              </w:rPr>
              <w:t xml:space="preserve">a </w:t>
            </w:r>
            <w:r>
              <w:rPr>
                <w:rFonts w:hint="eastAsia" w:ascii="仿宋_GB2312" w:eastAsia="仿宋_GB2312" w:cs="仿宋_GB2312"/>
                <w:caps w:val="0"/>
                <w:color w:val="auto"/>
                <w:sz w:val="21"/>
                <w:szCs w:val="21"/>
                <w:vertAlign w:val="baseline"/>
                <w:lang w:eastAsia="zh-CN"/>
              </w:rPr>
              <w:t>监测项目依据附件</w:t>
            </w:r>
            <w:r>
              <w:rPr>
                <w:rFonts w:hint="eastAsia" w:ascii="仿宋_GB2312" w:eastAsia="仿宋_GB2312" w:cs="仿宋_GB2312"/>
                <w:caps w:val="0"/>
                <w:color w:val="auto"/>
                <w:sz w:val="21"/>
                <w:szCs w:val="21"/>
                <w:vertAlign w:val="baseline"/>
                <w:lang w:val="en-US" w:eastAsia="zh-CN"/>
              </w:rPr>
              <w:t>1设置</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黑体" w:hAnsi="宋体" w:eastAsia="黑体" w:cs="黑体"/>
          <w:caps w:val="0"/>
          <w:color w:val="auto"/>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黑体" w:hAnsi="宋体" w:eastAsia="黑体" w:cs="黑体"/>
          <w:caps w:val="0"/>
          <w:color w:val="auto"/>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黑体" w:hAnsi="宋体" w:eastAsia="黑体" w:cs="黑体"/>
          <w:caps w:val="0"/>
          <w:color w:val="auto"/>
          <w:sz w:val="21"/>
          <w:szCs w:val="21"/>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黑体" w:hAnsi="宋体" w:eastAsia="黑体" w:cs="黑体"/>
          <w:caps w:val="0"/>
          <w:color w:val="auto"/>
          <w:sz w:val="21"/>
          <w:szCs w:val="21"/>
          <w:vertAlign w:val="baseline"/>
        </w:rPr>
      </w:pPr>
    </w:p>
    <w:p>
      <w:pPr>
        <w:sectPr>
          <w:footerReference r:id="rId10" w:type="first"/>
          <w:footerReference r:id="rId9" w:type="default"/>
          <w:pgSz w:w="11907" w:h="16838"/>
          <w:pgMar w:top="2098" w:right="1587" w:bottom="2098" w:left="1587" w:header="851" w:footer="1701" w:gutter="1"/>
          <w:pgNumType w:fmt="numberInDash"/>
          <w:cols w:space="720" w:num="1"/>
          <w:titlePg/>
          <w:docGrid w:type="lines" w:linePitch="435" w:charSpace="0"/>
        </w:sectPr>
      </w:pP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360" w:lineRule="auto"/>
        <w:ind w:left="0" w:right="0" w:firstLine="0"/>
        <w:jc w:val="both"/>
        <w:outlineLvl w:val="9"/>
        <w:rPr>
          <w:rFonts w:hint="eastAsia" w:ascii="黑体" w:hAnsi="宋体" w:eastAsia="黑体" w:cs="黑体"/>
          <w:caps w:val="0"/>
          <w:color w:val="auto"/>
          <w:sz w:val="32"/>
          <w:szCs w:val="22"/>
          <w:vertAlign w:val="baseline"/>
        </w:rPr>
      </w:pPr>
      <w:r>
        <w:rPr>
          <w:rFonts w:hint="eastAsia" w:ascii="黑体" w:hAnsi="宋体" w:eastAsia="黑体" w:cs="黑体"/>
          <w:b w:val="0"/>
          <w:bCs w:val="0"/>
          <w:caps w:val="0"/>
          <w:color w:val="auto"/>
          <w:kern w:val="2"/>
          <w:sz w:val="32"/>
          <w:szCs w:val="22"/>
          <w:vertAlign w:val="baseline"/>
          <w:lang w:val="en-US" w:eastAsia="zh-CN" w:bidi="ar"/>
        </w:rPr>
        <w:t>附件4</w:t>
      </w:r>
    </w:p>
    <w:p>
      <w:pPr>
        <w:keepNext w:val="0"/>
        <w:keepLines w:val="0"/>
        <w:pageBreakBefore w:val="0"/>
        <w:widowControl/>
        <w:suppressLineNumbers w:val="0"/>
        <w:suppressAutoHyphens/>
        <w:kinsoku/>
        <w:wordWrap/>
        <w:overflowPunct/>
        <w:topLinePunct w:val="0"/>
        <w:autoSpaceDE/>
        <w:autoSpaceDN w:val="0"/>
        <w:bidi w:val="0"/>
        <w:adjustRightInd w:val="0"/>
        <w:snapToGrid w:val="0"/>
        <w:spacing w:before="0" w:beforeAutospacing="0" w:after="0" w:afterAutospacing="0" w:line="300" w:lineRule="auto"/>
        <w:ind w:left="0" w:right="0" w:firstLine="0"/>
        <w:jc w:val="center"/>
        <w:outlineLvl w:val="9"/>
        <w:rPr>
          <w:rFonts w:hint="eastAsia" w:ascii="方正小标宋简体" w:hAnsi="方正小标宋简体" w:eastAsia="方正小标宋简体" w:cs="方正小标宋简体"/>
          <w:caps w:val="0"/>
          <w:color w:val="auto"/>
          <w:kern w:val="2"/>
          <w:sz w:val="44"/>
          <w:szCs w:val="44"/>
          <w:vertAlign w:val="baseline"/>
          <w:lang w:val="en-US" w:eastAsia="zh-CN"/>
        </w:rPr>
      </w:pPr>
      <w:r>
        <w:rPr>
          <w:rFonts w:hint="eastAsia" w:ascii="方正小标宋简体" w:hAnsi="方正小标宋简体" w:eastAsia="方正小标宋简体" w:cs="方正小标宋简体"/>
          <w:b w:val="0"/>
          <w:bCs w:val="0"/>
          <w:caps w:val="0"/>
          <w:color w:val="auto"/>
          <w:kern w:val="2"/>
          <w:sz w:val="44"/>
          <w:szCs w:val="44"/>
          <w:vertAlign w:val="baseline"/>
          <w:lang w:val="en-US" w:eastAsia="zh-CN" w:bidi="ar"/>
        </w:rPr>
        <w:t>分布式控制系统（DCS）关键系数</w:t>
      </w:r>
    </w:p>
    <w:tbl>
      <w:tblPr>
        <w:tblStyle w:val="10"/>
        <w:tblW w:w="0" w:type="auto"/>
        <w:jc w:val="center"/>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Layout w:type="fixed"/>
        <w:tblCellMar>
          <w:top w:w="0" w:type="dxa"/>
          <w:left w:w="0" w:type="dxa"/>
          <w:bottom w:w="0" w:type="dxa"/>
          <w:right w:w="0" w:type="dxa"/>
        </w:tblCellMar>
      </w:tblPr>
      <w:tblGrid>
        <w:gridCol w:w="545"/>
        <w:gridCol w:w="1103"/>
        <w:gridCol w:w="6297"/>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598" w:hRule="atLeast"/>
          <w:jc w:val="center"/>
        </w:trPr>
        <w:tc>
          <w:tcPr>
            <w:tcW w:w="545"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70" w:right="0" w:firstLine="0"/>
              <w:jc w:val="both"/>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序号</w:t>
            </w:r>
            <w:r>
              <w:rPr>
                <w:rFonts w:hint="eastAsia" w:ascii="黑体" w:hAnsi="宋体" w:eastAsia="黑体" w:cs="黑体"/>
                <w:bCs/>
                <w:caps w:val="0"/>
                <w:color w:val="auto"/>
                <w:w w:val="99"/>
                <w:sz w:val="21"/>
                <w:szCs w:val="21"/>
                <w:vertAlign w:val="baseline"/>
              </w:rPr>
              <w:t xml:space="preserve"> </w:t>
            </w:r>
          </w:p>
        </w:tc>
        <w:tc>
          <w:tcPr>
            <w:tcW w:w="1103"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0" w:firstLine="315" w:firstLineChars="150"/>
              <w:jc w:val="both"/>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工序</w:t>
            </w:r>
            <w:r>
              <w:rPr>
                <w:rFonts w:hint="eastAsia" w:ascii="黑体" w:hAnsi="宋体" w:eastAsia="黑体" w:cs="黑体"/>
                <w:bCs/>
                <w:caps w:val="0"/>
                <w:color w:val="auto"/>
                <w:w w:val="99"/>
                <w:sz w:val="21"/>
                <w:szCs w:val="21"/>
                <w:vertAlign w:val="baseline"/>
              </w:rPr>
              <w:t xml:space="preserve"> </w:t>
            </w:r>
          </w:p>
        </w:tc>
        <w:tc>
          <w:tcPr>
            <w:tcW w:w="6297"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0" w:right="3115" w:firstLine="0"/>
              <w:jc w:val="center"/>
              <w:outlineLvl w:val="9"/>
              <w:rPr>
                <w:rFonts w:hint="eastAsia" w:ascii="黑体" w:hAnsi="宋体" w:eastAsia="黑体" w:cs="黑体"/>
                <w:bCs/>
                <w:caps w:val="0"/>
                <w:color w:val="auto"/>
                <w:sz w:val="21"/>
                <w:szCs w:val="21"/>
                <w:vertAlign w:val="baseline"/>
              </w:rPr>
            </w:pPr>
            <w:r>
              <w:rPr>
                <w:rFonts w:hint="eastAsia" w:ascii="黑体" w:hAnsi="宋体" w:eastAsia="黑体" w:cs="黑体"/>
                <w:bCs/>
                <w:caps w:val="0"/>
                <w:color w:val="auto"/>
                <w:sz w:val="21"/>
                <w:szCs w:val="21"/>
                <w:vertAlign w:val="baseline"/>
              </w:rPr>
              <w:t xml:space="preserve">                          参数</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359" w:hRule="atLeast"/>
          <w:jc w:val="center"/>
        </w:trPr>
        <w:tc>
          <w:tcPr>
            <w:tcW w:w="545"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61" w:right="15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1 </w:t>
            </w:r>
          </w:p>
        </w:tc>
        <w:tc>
          <w:tcPr>
            <w:tcW w:w="1103"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28" w:beforeAutospacing="0" w:after="0" w:afterAutospacing="0" w:line="240" w:lineRule="auto"/>
              <w:ind w:left="0" w:right="10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水泥窑</w:t>
            </w:r>
          </w:p>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28" w:beforeAutospacing="0" w:after="0" w:afterAutospacing="0" w:line="240" w:lineRule="auto"/>
              <w:ind w:left="0" w:right="10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生产</w:t>
            </w:r>
          </w:p>
        </w:tc>
        <w:tc>
          <w:tcPr>
            <w:tcW w:w="6297"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8" w:right="5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水泥窑喂料量、喂煤量（窑头燃烧器、分解炉）、分解炉温度、窑尾烟室温度，预热器出口温度、CO浓度，协同处置废物入窑量 </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876" w:hRule="atLeast"/>
          <w:jc w:val="center"/>
        </w:trPr>
        <w:tc>
          <w:tcPr>
            <w:tcW w:w="545"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29" w:right="0" w:firstLine="0"/>
              <w:jc w:val="left"/>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2 </w:t>
            </w:r>
          </w:p>
        </w:tc>
        <w:tc>
          <w:tcPr>
            <w:tcW w:w="1103" w:type="dxa"/>
            <w:vMerge w:val="restart"/>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1" w:beforeAutospacing="0" w:after="0" w:afterAutospacing="0" w:line="240" w:lineRule="auto"/>
              <w:ind w:left="110" w:right="103" w:firstLine="0"/>
              <w:jc w:val="center"/>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窑尾烟气处理系统 </w:t>
            </w:r>
          </w:p>
        </w:tc>
        <w:tc>
          <w:tcPr>
            <w:tcW w:w="6297"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窑尾排放口烟气量、氧含量、氨排放浓度 </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876" w:hRule="atLeast"/>
          <w:jc w:val="center"/>
        </w:trPr>
        <w:tc>
          <w:tcPr>
            <w:tcW w:w="545"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宋体" w:hAnsi="Calibri" w:eastAsia="仿宋" w:cs="Arial"/>
                <w:sz w:val="24"/>
                <w:szCs w:val="24"/>
              </w:rPr>
            </w:pPr>
          </w:p>
        </w:tc>
        <w:tc>
          <w:tcPr>
            <w:tcW w:w="1103"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宋体" w:hAnsi="Calibri" w:eastAsia="仿宋" w:cs="Arial"/>
                <w:sz w:val="24"/>
                <w:szCs w:val="24"/>
              </w:rPr>
            </w:pPr>
          </w:p>
        </w:tc>
        <w:tc>
          <w:tcPr>
            <w:tcW w:w="6297"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8" w:right="0"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除尘：除尘器风量、风机电流、颗粒物排放浓度 </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273" w:hRule="atLeast"/>
          <w:jc w:val="center"/>
        </w:trPr>
        <w:tc>
          <w:tcPr>
            <w:tcW w:w="545"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宋体" w:hAnsi="Calibri" w:eastAsia="仿宋" w:cs="Arial"/>
                <w:sz w:val="24"/>
                <w:szCs w:val="24"/>
              </w:rPr>
            </w:pPr>
          </w:p>
        </w:tc>
        <w:tc>
          <w:tcPr>
            <w:tcW w:w="1103"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宋体" w:hAnsi="Calibri" w:eastAsia="仿宋" w:cs="Arial"/>
                <w:sz w:val="24"/>
                <w:szCs w:val="24"/>
              </w:rPr>
            </w:pPr>
          </w:p>
        </w:tc>
        <w:tc>
          <w:tcPr>
            <w:tcW w:w="6297"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8" w:right="49"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脱硫：脱硫剂使用量、脱硫剂仓料（液）位（与CEMS时间同步）、风机电流、二氧化硫排放浓度 </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trHeight w:val="1586" w:hRule="atLeast"/>
          <w:jc w:val="center"/>
        </w:trPr>
        <w:tc>
          <w:tcPr>
            <w:tcW w:w="545"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宋体" w:hAnsi="Calibri" w:eastAsia="仿宋" w:cs="Arial"/>
                <w:sz w:val="24"/>
                <w:szCs w:val="24"/>
              </w:rPr>
            </w:pPr>
          </w:p>
        </w:tc>
        <w:tc>
          <w:tcPr>
            <w:tcW w:w="1103" w:type="dxa"/>
            <w:vMerge w:val="continue"/>
            <w:tcBorders>
              <w:top w:val="single" w:color="000000" w:sz="2" w:space="0"/>
              <w:left w:val="single" w:color="000000" w:sz="2" w:space="0"/>
              <w:bottom w:val="single" w:color="000000" w:sz="2" w:space="0"/>
              <w:right w:val="single" w:color="000000" w:sz="2" w:space="0"/>
            </w:tcBorders>
            <w:noWrap/>
            <w:vAlign w:val="center"/>
          </w:tcPr>
          <w:p>
            <w:pPr>
              <w:rPr>
                <w:rFonts w:hint="eastAsia" w:ascii="宋体" w:hAnsi="Calibri" w:eastAsia="仿宋" w:cs="Arial"/>
                <w:sz w:val="24"/>
                <w:szCs w:val="24"/>
              </w:rPr>
            </w:pPr>
          </w:p>
        </w:tc>
        <w:tc>
          <w:tcPr>
            <w:tcW w:w="6297" w:type="dxa"/>
            <w:tcBorders>
              <w:top w:val="single" w:color="000000" w:sz="2" w:space="0"/>
              <w:left w:val="single" w:color="000000" w:sz="2" w:space="0"/>
              <w:bottom w:val="single" w:color="000000" w:sz="2" w:space="0"/>
              <w:right w:val="single" w:color="000000" w:sz="2" w:space="0"/>
            </w:tcBorders>
            <w:noWrap/>
            <w:vAlign w:val="center"/>
          </w:tcPr>
          <w:p>
            <w:pPr>
              <w:pStyle w:val="16"/>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0" w:beforeAutospacing="0" w:after="0" w:afterAutospacing="0" w:line="240" w:lineRule="auto"/>
              <w:ind w:left="28" w:right="49" w:firstLine="0"/>
              <w:jc w:val="both"/>
              <w:outlineLvl w:val="9"/>
              <w:rPr>
                <w:rFonts w:hint="eastAsia" w:ascii="仿宋_GB2312" w:eastAsia="仿宋_GB2312" w:cs="仿宋_GB2312"/>
                <w:caps w:val="0"/>
                <w:color w:val="auto"/>
                <w:sz w:val="21"/>
                <w:szCs w:val="21"/>
                <w:vertAlign w:val="baseline"/>
              </w:rPr>
            </w:pPr>
            <w:r>
              <w:rPr>
                <w:rFonts w:hint="eastAsia" w:ascii="仿宋_GB2312" w:eastAsia="仿宋_GB2312" w:cs="仿宋_GB2312"/>
                <w:caps w:val="0"/>
                <w:color w:val="auto"/>
                <w:sz w:val="21"/>
                <w:szCs w:val="21"/>
                <w:vertAlign w:val="baseline"/>
              </w:rPr>
              <w:t xml:space="preserve">脱硝：脱硝剂（还原剂）使用量、脱硝剂仓料（液）位、反应器出入口烟气温度（SCR工艺）、反应器出入口氮氧化物浓度（SCR工艺）、风机电流、氮氧化物排放浓度 </w:t>
            </w:r>
          </w:p>
        </w:tc>
      </w:tr>
    </w:tbl>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spacing w:line="420" w:lineRule="auto"/>
        <w:ind w:left="0"/>
        <w:rPr>
          <w:rFonts w:ascii="Calibri" w:hAnsi="Calibri" w:eastAsia="仿宋" w:cs="Arial"/>
          <w:sz w:val="28"/>
          <w:szCs w:val="20"/>
        </w:rPr>
      </w:pPr>
    </w:p>
    <w:p>
      <w:pPr>
        <w:autoSpaceDN w:val="0"/>
        <w:adjustRightInd w:val="0"/>
        <w:snapToGrid w:val="0"/>
        <w:ind w:firstLine="280" w:firstLineChars="100"/>
        <w:rPr>
          <w:rFonts w:hint="eastAsia" w:ascii="仿宋_GB2312" w:hAnsi="Calibri" w:eastAsia="仿宋_GB2312" w:cs="Times New Roman"/>
          <w:sz w:val="28"/>
          <w:szCs w:val="28"/>
          <w:lang w:bidi="ar-SA"/>
        </w:rPr>
      </w:pPr>
    </w:p>
    <w:p>
      <w:pPr>
        <w:autoSpaceDN w:val="0"/>
        <w:adjustRightInd w:val="0"/>
        <w:snapToGrid w:val="0"/>
        <w:ind w:firstLine="280" w:firstLineChars="100"/>
        <w:rPr>
          <w:rFonts w:hint="eastAsia" w:ascii="仿宋_GB2312" w:hAnsi="Calibri" w:eastAsia="仿宋_GB2312" w:cs="Times New Roman"/>
          <w:sz w:val="28"/>
          <w:szCs w:val="28"/>
          <w:lang w:bidi="ar-SA"/>
        </w:rPr>
      </w:pPr>
    </w:p>
    <w:p>
      <w:pPr>
        <w:autoSpaceDN w:val="0"/>
        <w:adjustRightInd w:val="0"/>
        <w:snapToGrid w:val="0"/>
        <w:ind w:firstLine="280" w:firstLineChars="100"/>
        <w:rPr>
          <w:rFonts w:hint="eastAsia" w:ascii="仿宋_GB2312" w:hAnsi="Calibri" w:eastAsia="仿宋_GB2312" w:cs="Times New Roman"/>
          <w:sz w:val="28"/>
          <w:szCs w:val="28"/>
          <w:lang w:bidi="ar-SA"/>
        </w:rPr>
      </w:pPr>
    </w:p>
    <w:p>
      <w:pPr>
        <w:autoSpaceDN w:val="0"/>
        <w:adjustRightInd w:val="0"/>
        <w:snapToGrid w:val="0"/>
        <w:ind w:firstLine="280" w:firstLineChars="100"/>
        <w:rPr>
          <w:rFonts w:hint="eastAsia" w:ascii="仿宋_GB2312" w:hAnsi="Calibri" w:eastAsia="仿宋_GB2312" w:cs="Times New Roman"/>
          <w:sz w:val="28"/>
          <w:szCs w:val="28"/>
          <w:lang w:bidi="ar-SA"/>
        </w:rPr>
        <w:sectPr>
          <w:footerReference r:id="rId11" w:type="default"/>
          <w:footerReference r:id="rId12" w:type="even"/>
          <w:pgSz w:w="11907" w:h="16840"/>
          <w:pgMar w:top="2098" w:right="1588" w:bottom="2098" w:left="1588" w:header="851" w:footer="1701" w:gutter="0"/>
          <w:paperSrc/>
          <w:pgNumType w:fmt="numberInDash"/>
          <w:cols w:space="720" w:num="1"/>
          <w:rtlGutter w:val="0"/>
          <w:docGrid w:linePitch="439" w:charSpace="0"/>
        </w:sectPr>
      </w:pPr>
    </w:p>
    <w:p>
      <w:pPr>
        <w:autoSpaceDN w:val="0"/>
        <w:adjustRightInd w:val="0"/>
        <w:snapToGrid w:val="0"/>
        <w:ind w:firstLine="280" w:firstLineChars="100"/>
        <w:rPr>
          <w:rFonts w:hint="eastAsia" w:ascii="仿宋_GB2312" w:hAnsi="Calibri" w:eastAsia="仿宋_GB2312" w:cs="Times New Roman"/>
          <w:sz w:val="28"/>
          <w:szCs w:val="28"/>
          <w:lang w:bidi="ar-SA"/>
        </w:rPr>
      </w:pPr>
    </w:p>
    <w:p>
      <w:pPr>
        <w:autoSpaceDN w:val="0"/>
        <w:adjustRightInd w:val="0"/>
        <w:snapToGrid w:val="0"/>
        <w:ind w:firstLine="280" w:firstLineChars="100"/>
        <w:rPr>
          <w:rFonts w:hint="eastAsia" w:ascii="仿宋_GB2312" w:hAnsi="Calibri" w:eastAsia="仿宋_GB2312" w:cs="Times New Roman"/>
          <w:sz w:val="28"/>
          <w:szCs w:val="28"/>
          <w:lang w:bidi="ar-SA"/>
        </w:rPr>
        <w:sectPr>
          <w:footerReference r:id="rId13" w:type="default"/>
          <w:footerReference r:id="rId14" w:type="even"/>
          <w:pgSz w:w="11907" w:h="16840"/>
          <w:pgMar w:top="2098" w:right="1588" w:bottom="2098" w:left="1588" w:header="851" w:footer="1701" w:gutter="0"/>
          <w:paperSrc/>
          <w:pgNumType w:fmt="numberInDash"/>
          <w:cols w:space="720" w:num="1"/>
          <w:rtlGutter w:val="0"/>
          <w:docGrid w:linePitch="439" w:charSpace="0"/>
        </w:sectPr>
      </w:pPr>
    </w:p>
    <w:p>
      <w:pPr>
        <w:pBdr>
          <w:top w:val="none" w:color="auto" w:sz="0" w:space="0"/>
          <w:bottom w:val="single" w:color="000000" w:sz="12" w:space="1"/>
        </w:pBdr>
        <w:autoSpaceDN w:val="0"/>
        <w:adjustRightInd w:val="0"/>
        <w:snapToGrid w:val="0"/>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32"/>
          <w:szCs w:val="32"/>
        </w:rPr>
      </w:pPr>
    </w:p>
    <w:p>
      <w:pPr>
        <w:pBdr>
          <w:top w:val="none" w:color="auto" w:sz="0" w:space="0"/>
          <w:bottom w:val="single" w:color="000000" w:sz="12" w:space="1"/>
        </w:pBdr>
        <w:autoSpaceDN w:val="0"/>
        <w:adjustRightInd w:val="0"/>
        <w:snapToGrid w:val="0"/>
        <w:spacing w:line="240" w:lineRule="auto"/>
        <w:rPr>
          <w:sz w:val="96"/>
          <w:szCs w:val="96"/>
        </w:rPr>
      </w:pPr>
    </w:p>
    <w:p>
      <w:pPr>
        <w:pBdr>
          <w:top w:val="none" w:color="auto" w:sz="0" w:space="0"/>
          <w:bottom w:val="single" w:color="000000" w:sz="12" w:space="1"/>
        </w:pBdr>
        <w:autoSpaceDN w:val="0"/>
        <w:adjustRightInd w:val="0"/>
        <w:snapToGrid w:val="0"/>
        <w:spacing w:line="240" w:lineRule="auto"/>
        <w:rPr>
          <w:sz w:val="24"/>
          <w:szCs w:val="24"/>
        </w:rPr>
      </w:pPr>
    </w:p>
    <w:p>
      <w:pPr>
        <w:keepNext w:val="0"/>
        <w:keepLines w:val="0"/>
        <w:pageBreakBefore w:val="0"/>
        <w:widowControl w:val="0"/>
        <w:pBdr>
          <w:top w:val="none" w:color="auto" w:sz="0" w:space="0"/>
          <w:bottom w:val="single" w:color="000000" w:sz="6" w:space="1"/>
        </w:pBdr>
        <w:kinsoku/>
        <w:wordWrap/>
        <w:overflowPunct/>
        <w:topLinePunct w:val="0"/>
        <w:autoSpaceDE/>
        <w:autoSpaceDN w:val="0"/>
        <w:bidi w:val="0"/>
        <w:adjustRightInd w:val="0"/>
        <w:snapToGrid w:val="0"/>
        <w:spacing w:line="240" w:lineRule="auto"/>
        <w:ind w:firstLine="293" w:firstLineChars="100"/>
        <w:textAlignment w:val="auto"/>
        <w:rPr>
          <w:rFonts w:hint="eastAsia" w:ascii="仿宋_GB2312" w:eastAsia="仿宋_GB2312" w:cs="Times New Roman"/>
          <w:sz w:val="28"/>
          <w:szCs w:val="28"/>
          <w:lang w:eastAsia="zh-CN" w:bidi="ar-SA"/>
        </w:rPr>
      </w:pPr>
      <w:r>
        <w:rPr>
          <w:rFonts w:hint="eastAsia" w:ascii="仿宋_GB2312"/>
          <w:sz w:val="28"/>
          <w:szCs w:val="20"/>
        </w:rPr>
        <w:t>抄送：</w:t>
      </w:r>
      <w:bookmarkStart w:id="6" w:name="copydelivery"/>
      <w:r>
        <w:rPr>
          <w:rFonts w:hint="eastAsia" w:ascii="仿宋_GB2312" w:eastAsia="仿宋_GB2312" w:cs="Times New Roman"/>
          <w:sz w:val="28"/>
          <w:szCs w:val="28"/>
          <w:lang w:eastAsia="zh-CN" w:bidi="ar-SA"/>
        </w:rPr>
        <w:t>各设区市人民政府办公厅（室），平潭综合实验区管委会</w:t>
      </w:r>
    </w:p>
    <w:p>
      <w:pPr>
        <w:keepNext w:val="0"/>
        <w:keepLines w:val="0"/>
        <w:pageBreakBefore w:val="0"/>
        <w:widowControl w:val="0"/>
        <w:pBdr>
          <w:top w:val="none" w:color="auto" w:sz="0" w:space="0"/>
          <w:bottom w:val="single" w:color="000000" w:sz="6" w:space="1"/>
        </w:pBdr>
        <w:kinsoku/>
        <w:wordWrap/>
        <w:overflowPunct/>
        <w:topLinePunct w:val="0"/>
        <w:autoSpaceDE/>
        <w:autoSpaceDN w:val="0"/>
        <w:bidi w:val="0"/>
        <w:adjustRightInd w:val="0"/>
        <w:snapToGrid w:val="0"/>
        <w:spacing w:line="240" w:lineRule="auto"/>
        <w:ind w:firstLine="1172" w:firstLineChars="400"/>
        <w:textAlignment w:val="auto"/>
        <w:rPr>
          <w:rFonts w:hint="eastAsia" w:ascii="仿宋_GB2312"/>
          <w:sz w:val="28"/>
          <w:szCs w:val="20"/>
        </w:rPr>
      </w:pPr>
      <w:r>
        <w:rPr>
          <w:rFonts w:hint="eastAsia" w:ascii="仿宋_GB2312" w:eastAsia="仿宋_GB2312" w:cs="Times New Roman"/>
          <w:sz w:val="28"/>
          <w:szCs w:val="28"/>
          <w:lang w:eastAsia="zh-CN" w:bidi="ar-SA"/>
        </w:rPr>
        <w:t>办公室</w:t>
      </w:r>
      <w:bookmarkEnd w:id="6"/>
      <w:r>
        <w:rPr>
          <w:rFonts w:hint="eastAsia" w:ascii="仿宋_GB2312" w:eastAsia="仿宋_GB2312" w:cs="Times New Roman"/>
          <w:sz w:val="28"/>
          <w:szCs w:val="28"/>
          <w:lang w:bidi="ar-SA"/>
        </w:rPr>
        <w:t>。</w:t>
      </w:r>
    </w:p>
    <w:p>
      <w:pPr>
        <w:pBdr>
          <w:top w:val="none" w:color="auto" w:sz="0" w:space="0"/>
          <w:bottom w:val="single" w:color="000000" w:sz="12" w:space="1"/>
        </w:pBdr>
        <w:autoSpaceDN w:val="0"/>
        <w:adjustRightInd w:val="0"/>
        <w:snapToGrid/>
        <w:spacing w:line="240" w:lineRule="auto"/>
        <w:ind w:firstLine="293" w:firstLineChars="100"/>
        <w:rPr>
          <w:rFonts w:hint="eastAsia" w:ascii="仿宋_GB2312" w:hAnsi="Calibri" w:eastAsia="仿宋_GB2312" w:cs="Times New Roman"/>
          <w:sz w:val="28"/>
          <w:szCs w:val="28"/>
          <w:lang w:bidi="ar-SA"/>
        </w:rPr>
      </w:pPr>
      <w:r>
        <w:rPr>
          <w:rFonts w:hint="eastAsia" w:ascii="仿宋_GB2312" w:cs="Times New Roman"/>
          <w:sz w:val="28"/>
          <w:szCs w:val="28"/>
          <w:lang w:bidi="ar-SA"/>
        </w:rPr>
        <w:t xml:space="preserve">福建省生态环境厅办公室   </w:t>
      </w:r>
      <w:r>
        <w:rPr>
          <w:rFonts w:hint="eastAsia" w:ascii="仿宋_GB2312" w:cs="Times New Roman"/>
          <w:sz w:val="28"/>
          <w:szCs w:val="28"/>
          <w:lang w:val="en-US" w:eastAsia="zh-CN" w:bidi="ar-SA"/>
        </w:rPr>
        <w:t xml:space="preserve"> </w:t>
      </w:r>
      <w:r>
        <w:rPr>
          <w:rFonts w:hint="eastAsia" w:ascii="仿宋_GB2312" w:cs="Times New Roman"/>
          <w:sz w:val="28"/>
          <w:szCs w:val="28"/>
          <w:lang w:bidi="ar-SA"/>
        </w:rPr>
        <w:t xml:space="preserve">      </w:t>
      </w:r>
      <w:r>
        <w:rPr>
          <w:rFonts w:hint="eastAsia" w:ascii="仿宋_GB2312" w:cs="Times New Roman"/>
          <w:sz w:val="28"/>
          <w:szCs w:val="28"/>
          <w:lang w:val="en-US" w:eastAsia="zh-CN" w:bidi="ar-SA"/>
        </w:rPr>
        <w:t xml:space="preserve"> </w:t>
      </w:r>
      <w:r>
        <w:rPr>
          <w:rFonts w:hint="eastAsia" w:ascii="仿宋_GB2312" w:cs="Times New Roman"/>
          <w:sz w:val="28"/>
          <w:szCs w:val="28"/>
          <w:lang w:bidi="ar-SA"/>
        </w:rPr>
        <w:t xml:space="preserve">      </w:t>
      </w:r>
      <w:r>
        <w:rPr>
          <w:rFonts w:hint="eastAsia" w:ascii="仿宋_GB2312" w:cs="Times New Roman"/>
          <w:sz w:val="28"/>
          <w:szCs w:val="28"/>
          <w:lang w:val="en-US" w:eastAsia="zh-CN" w:bidi="ar-SA"/>
        </w:rPr>
        <w:t>2023</w:t>
      </w:r>
      <w:r>
        <w:rPr>
          <w:rFonts w:hint="eastAsia" w:ascii="仿宋_GB2312" w:cs="Times New Roman"/>
          <w:sz w:val="28"/>
          <w:szCs w:val="28"/>
          <w:lang w:bidi="ar-SA"/>
        </w:rPr>
        <w:t>年</w:t>
      </w:r>
      <w:r>
        <w:rPr>
          <w:rFonts w:hint="eastAsia" w:ascii="仿宋_GB2312" w:cs="Times New Roman"/>
          <w:sz w:val="28"/>
          <w:szCs w:val="28"/>
          <w:lang w:val="en-US" w:eastAsia="zh-CN" w:bidi="ar-SA"/>
        </w:rPr>
        <w:t>6</w:t>
      </w:r>
      <w:r>
        <w:rPr>
          <w:rFonts w:hint="eastAsia" w:ascii="仿宋_GB2312" w:cs="Times New Roman"/>
          <w:sz w:val="28"/>
          <w:szCs w:val="28"/>
          <w:lang w:bidi="ar-SA"/>
        </w:rPr>
        <w:t>月</w:t>
      </w:r>
      <w:r>
        <w:rPr>
          <w:rFonts w:hint="eastAsia" w:ascii="仿宋_GB2312" w:cs="Times New Roman"/>
          <w:sz w:val="28"/>
          <w:szCs w:val="28"/>
          <w:lang w:val="en-US" w:eastAsia="zh-CN" w:bidi="ar-SA"/>
        </w:rPr>
        <w:t>12</w:t>
      </w:r>
      <w:r>
        <w:rPr>
          <w:rFonts w:hint="eastAsia" w:ascii="仿宋_GB2312" w:cs="Times New Roman"/>
          <w:sz w:val="28"/>
          <w:szCs w:val="28"/>
          <w:lang w:bidi="ar-SA"/>
        </w:rPr>
        <w:t>日印发</w:t>
      </w:r>
    </w:p>
    <w:sectPr>
      <w:pgSz w:w="11907" w:h="16840"/>
      <w:pgMar w:top="2098" w:right="1587" w:bottom="2098" w:left="1587" w:header="851" w:footer="1701" w:gutter="0"/>
      <w:pgNumType w:fmt="numberInDash"/>
      <w:cols w:space="720" w:num="1"/>
      <w:docGrid w:type="linesAndChars" w:linePitch="623" w:charSpace="2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仿宋" w:cs="Arial"/>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both"/>
                          </w:pPr>
                          <w:r>
                            <w:rPr>
                              <w:rStyle w:val="12"/>
                              <w:rFonts w:hint="eastAsia" w:ascii="宋体" w:hAnsi="Times New Roman" w:eastAsia="宋体" w:cs="Times New Roman"/>
                              <w:kern w:val="2"/>
                              <w:sz w:val="28"/>
                              <w:szCs w:val="28"/>
                              <w:lang w:val="en-US" w:eastAsia="zh-CN" w:bidi="ar-SA"/>
                            </w:rPr>
                            <w:t xml:space="preserve"> </w:t>
                          </w:r>
                          <w:r>
                            <w:rPr>
                              <w:rStyle w:val="12"/>
                              <w:rFonts w:hint="eastAsia" w:ascii="宋体" w:hAnsi="Times New Roman" w:eastAsia="宋体" w:cs="Times New Roman"/>
                              <w:kern w:val="2"/>
                              <w:sz w:val="28"/>
                              <w:szCs w:val="28"/>
                              <w:lang w:val="en-US" w:eastAsia="zh-CN" w:bidi="ar-SA"/>
                            </w:rPr>
                            <w:fldChar w:fldCharType="begin"/>
                          </w:r>
                          <w:r>
                            <w:rPr>
                              <w:rStyle w:val="12"/>
                              <w:rFonts w:hint="eastAsia" w:ascii="宋体" w:hAnsi="Times New Roman" w:eastAsia="宋体" w:cs="Times New Roman"/>
                              <w:kern w:val="2"/>
                              <w:sz w:val="28"/>
                              <w:szCs w:val="28"/>
                              <w:lang w:val="en-US" w:eastAsia="zh-CN" w:bidi="ar-SA"/>
                            </w:rPr>
                            <w:instrText xml:space="preserve">PAGE  </w:instrText>
                          </w:r>
                          <w:r>
                            <w:rPr>
                              <w:rStyle w:val="12"/>
                              <w:rFonts w:hint="eastAsia" w:ascii="宋体" w:hAnsi="Times New Roman" w:eastAsia="宋体" w:cs="Times New Roman"/>
                              <w:kern w:val="2"/>
                              <w:sz w:val="28"/>
                              <w:szCs w:val="28"/>
                              <w:lang w:val="en-US" w:eastAsia="zh-CN" w:bidi="ar-SA"/>
                            </w:rPr>
                            <w:fldChar w:fldCharType="separate"/>
                          </w:r>
                          <w:r>
                            <w:rPr>
                              <w:rStyle w:val="12"/>
                              <w:rFonts w:hint="eastAsia" w:ascii="宋体" w:hAnsi="Times New Roman" w:eastAsia="宋体" w:cs="Times New Roman"/>
                              <w:kern w:val="2"/>
                              <w:sz w:val="28"/>
                              <w:szCs w:val="28"/>
                              <w:lang w:val="en-US" w:eastAsia="zh-CN" w:bidi="ar-SA"/>
                            </w:rPr>
                            <w:t>- 1 -</w:t>
                          </w:r>
                          <w:r>
                            <w:rPr>
                              <w:rStyle w:val="12"/>
                              <w:rFonts w:hint="eastAsia" w:ascii="宋体" w:hAnsi="Times New Roman" w:eastAsia="宋体" w:cs="Times New Roman"/>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CCN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64II3gEAAL4DAAAOAAAAAAAA&#10;AAEAIAAAAB4BAABkcnMvZTJvRG9jLnhtbFBLBQYAAAAABgAGAFkBAABuBQAAAAA=&#10;">
              <v:fill on="f" focussize="0,0"/>
              <v:stroke on="f"/>
              <v:imagedata o:title=""/>
              <o:lock v:ext="edit" aspectratio="f"/>
              <v:textbox inset="0mm,0mm,0mm,0mm" style="mso-fit-shape-to-text:t;">
                <w:txbxContent>
                  <w:p>
                    <w:pPr>
                      <w:widowControl w:val="0"/>
                      <w:snapToGrid w:val="0"/>
                      <w:jc w:val="both"/>
                    </w:pPr>
                    <w:r>
                      <w:rPr>
                        <w:rStyle w:val="12"/>
                        <w:rFonts w:hint="eastAsia" w:ascii="宋体" w:hAnsi="Times New Roman" w:eastAsia="宋体" w:cs="Times New Roman"/>
                        <w:kern w:val="2"/>
                        <w:sz w:val="28"/>
                        <w:szCs w:val="28"/>
                        <w:lang w:val="en-US" w:eastAsia="zh-CN" w:bidi="ar-SA"/>
                      </w:rPr>
                      <w:t xml:space="preserve"> </w:t>
                    </w:r>
                    <w:r>
                      <w:rPr>
                        <w:rStyle w:val="12"/>
                        <w:rFonts w:hint="eastAsia" w:ascii="宋体" w:hAnsi="Times New Roman" w:eastAsia="宋体" w:cs="Times New Roman"/>
                        <w:kern w:val="2"/>
                        <w:sz w:val="28"/>
                        <w:szCs w:val="28"/>
                        <w:lang w:val="en-US" w:eastAsia="zh-CN" w:bidi="ar-SA"/>
                      </w:rPr>
                      <w:fldChar w:fldCharType="begin"/>
                    </w:r>
                    <w:r>
                      <w:rPr>
                        <w:rStyle w:val="12"/>
                        <w:rFonts w:hint="eastAsia" w:ascii="宋体" w:hAnsi="Times New Roman" w:eastAsia="宋体" w:cs="Times New Roman"/>
                        <w:kern w:val="2"/>
                        <w:sz w:val="28"/>
                        <w:szCs w:val="28"/>
                        <w:lang w:val="en-US" w:eastAsia="zh-CN" w:bidi="ar-SA"/>
                      </w:rPr>
                      <w:instrText xml:space="preserve">PAGE  </w:instrText>
                    </w:r>
                    <w:r>
                      <w:rPr>
                        <w:rStyle w:val="12"/>
                        <w:rFonts w:hint="eastAsia" w:ascii="宋体" w:hAnsi="Times New Roman" w:eastAsia="宋体" w:cs="Times New Roman"/>
                        <w:kern w:val="2"/>
                        <w:sz w:val="28"/>
                        <w:szCs w:val="28"/>
                        <w:lang w:val="en-US" w:eastAsia="zh-CN" w:bidi="ar-SA"/>
                      </w:rPr>
                      <w:fldChar w:fldCharType="separate"/>
                    </w:r>
                    <w:r>
                      <w:rPr>
                        <w:rStyle w:val="12"/>
                        <w:rFonts w:hint="eastAsia" w:ascii="宋体" w:hAnsi="Times New Roman" w:eastAsia="宋体" w:cs="Times New Roman"/>
                        <w:kern w:val="2"/>
                        <w:sz w:val="28"/>
                        <w:szCs w:val="28"/>
                        <w:lang w:val="en-US" w:eastAsia="zh-CN" w:bidi="ar-SA"/>
                      </w:rPr>
                      <w:t>- 1 -</w:t>
                    </w:r>
                    <w:r>
                      <w:rPr>
                        <w:rStyle w:val="12"/>
                        <w:rFonts w:hint="eastAsia" w:ascii="宋体"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420" w:firstLineChars="150"/>
      <w:rPr>
        <w:rFonts w:hint="eastAsia" w:ascii="宋体" w:hAnsi="Calibri" w:eastAsia="宋体" w:cs="Times New Roman"/>
        <w:sz w:val="28"/>
        <w:szCs w:val="28"/>
        <w:lang w:bidi="ar-SA"/>
      </w:rPr>
    </w:pPr>
    <w:r>
      <w:rPr>
        <w:rFonts w:hint="eastAsia" w:ascii="宋体" w:hAnsi="Calibri" w:eastAsia="宋体" w:cs="Times New Roman"/>
        <w:sz w:val="28"/>
        <w:szCs w:val="28"/>
        <w:lang w:bidi="ar-SA"/>
      </w:rPr>
      <w:fldChar w:fldCharType="begin"/>
    </w:r>
    <w:r>
      <w:rPr>
        <w:rFonts w:hint="eastAsia" w:ascii="宋体" w:hAnsi="Calibri" w:eastAsia="宋体" w:cs="Times New Roman"/>
        <w:sz w:val="28"/>
        <w:szCs w:val="28"/>
        <w:lang w:bidi="ar-SA"/>
      </w:rPr>
      <w:instrText xml:space="preserve">PAGE  </w:instrText>
    </w:r>
    <w:r>
      <w:rPr>
        <w:rFonts w:hint="eastAsia" w:ascii="宋体" w:hAnsi="Calibri" w:eastAsia="宋体" w:cs="Times New Roman"/>
        <w:sz w:val="28"/>
        <w:szCs w:val="28"/>
        <w:lang w:bidi="ar-SA"/>
      </w:rPr>
      <w:fldChar w:fldCharType="separate"/>
    </w:r>
    <w:r>
      <w:rPr>
        <w:rFonts w:hint="eastAsia" w:ascii="宋体" w:hAnsi="Calibri" w:eastAsia="宋体" w:cs="Times New Roman"/>
        <w:sz w:val="28"/>
        <w:szCs w:val="28"/>
        <w:lang w:bidi="ar-SA"/>
      </w:rPr>
      <w:t>- 2 -</w:t>
    </w:r>
    <w:r>
      <w:rPr>
        <w:rFonts w:hint="eastAsia" w:ascii="宋体" w:hAnsi="Calibri" w:eastAsia="宋体" w:cs="Times New Roman"/>
        <w:sz w:val="28"/>
        <w:szCs w:val="28"/>
        <w:lang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仿宋" w:cs="Arial"/>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59130" cy="326390"/>
              <wp:effectExtent l="0" t="0" r="0" b="0"/>
              <wp:wrapNone/>
              <wp:docPr id="5" name="文本框 1"/>
              <wp:cNvGraphicFramePr/>
              <a:graphic xmlns:a="http://schemas.openxmlformats.org/drawingml/2006/main">
                <a:graphicData uri="http://schemas.microsoft.com/office/word/2010/wordprocessingShape">
                  <wps:wsp>
                    <wps:cNvSpPr txBox="1"/>
                    <wps:spPr>
                      <a:xfrm>
                        <a:off x="0" y="0"/>
                        <a:ext cx="659130" cy="326390"/>
                      </a:xfrm>
                      <a:prstGeom prst="rect">
                        <a:avLst/>
                      </a:prstGeom>
                      <a:noFill/>
                      <a:ln>
                        <a:noFill/>
                      </a:ln>
                    </wps:spPr>
                    <wps:txbx>
                      <w:txbxContent>
                        <w:p>
                          <w:pPr>
                            <w:widowControl w:val="0"/>
                            <w:snapToGrid w:val="0"/>
                            <w:jc w:val="center"/>
                          </w:pPr>
                          <w:r>
                            <w:rPr>
                              <w:rStyle w:val="12"/>
                              <w:rFonts w:hint="eastAsia" w:ascii="宋体" w:hAnsi="Times New Roman" w:eastAsia="宋体" w:cs="Times New Roman"/>
                              <w:kern w:val="2"/>
                              <w:sz w:val="28"/>
                              <w:szCs w:val="28"/>
                              <w:lang w:val="en-US" w:eastAsia="zh-CN" w:bidi="ar-SA"/>
                            </w:rPr>
                            <w:fldChar w:fldCharType="begin"/>
                          </w:r>
                          <w:r>
                            <w:rPr>
                              <w:rStyle w:val="12"/>
                              <w:rFonts w:hint="eastAsia" w:ascii="宋体" w:hAnsi="Times New Roman" w:eastAsia="宋体" w:cs="Times New Roman"/>
                              <w:kern w:val="2"/>
                              <w:sz w:val="28"/>
                              <w:szCs w:val="28"/>
                              <w:lang w:val="en-US" w:eastAsia="zh-CN" w:bidi="ar-SA"/>
                            </w:rPr>
                            <w:instrText xml:space="preserve">PAGE  </w:instrText>
                          </w:r>
                          <w:r>
                            <w:rPr>
                              <w:rStyle w:val="12"/>
                              <w:rFonts w:hint="eastAsia" w:ascii="宋体" w:hAnsi="Times New Roman" w:eastAsia="宋体" w:cs="Times New Roman"/>
                              <w:kern w:val="2"/>
                              <w:sz w:val="28"/>
                              <w:szCs w:val="28"/>
                              <w:lang w:val="en-US" w:eastAsia="zh-CN" w:bidi="ar-SA"/>
                            </w:rPr>
                            <w:fldChar w:fldCharType="separate"/>
                          </w:r>
                          <w:r>
                            <w:rPr>
                              <w:rStyle w:val="12"/>
                              <w:rFonts w:hint="eastAsia" w:ascii="宋体" w:hAnsi="Times New Roman" w:eastAsia="宋体" w:cs="Times New Roman"/>
                              <w:kern w:val="2"/>
                              <w:sz w:val="28"/>
                              <w:szCs w:val="28"/>
                              <w:lang w:val="en-US" w:eastAsia="zh-CN" w:bidi="ar-SA"/>
                            </w:rPr>
                            <w:t>- 1 -</w:t>
                          </w:r>
                          <w:r>
                            <w:rPr>
                              <w:rStyle w:val="12"/>
                              <w:rFonts w:hint="eastAsia" w:ascii="宋体" w:hAnsi="Times New Roman" w:eastAsia="宋体" w:cs="Times New Roman"/>
                              <w:kern w:val="2"/>
                              <w:sz w:val="28"/>
                              <w:szCs w:val="28"/>
                              <w:lang w:val="en-US" w:eastAsia="zh-CN" w:bidi="ar-SA"/>
                            </w:rPr>
                            <w:fldChar w:fldCharType="end"/>
                          </w:r>
                        </w:p>
                      </w:txbxContent>
                    </wps:txbx>
                    <wps:bodyPr vert="horz" wrap="square" lIns="0" tIns="0" rIns="0" bIns="0" anchor="t" anchorCtr="0" upright="0"/>
                  </wps:wsp>
                </a:graphicData>
              </a:graphic>
            </wp:anchor>
          </w:drawing>
        </mc:Choice>
        <mc:Fallback>
          <w:pict>
            <v:shape id="文本框 1" o:spid="_x0000_s1026" o:spt="202" type="#_x0000_t202" style="position:absolute;left:0pt;margin-top:0pt;height:25.7pt;width:51.9pt;mso-position-horizontal:outside;mso-position-horizontal-relative:margin;z-index:251659264;mso-width-relative:page;mso-height-relative:page;" filled="f" stroked="f" coordsize="21600,21600" o:gfxdata="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loBpfUAAAABAEAAA8AAAAAAAAAAQAg&#10;AAAAIgAAAGRycy9kb3ducmV2LnhtbFBLAQIUABQAAAAIAIdO4kAcHodf2QEAAKQDAAAOAAAAAAAA&#10;AAEAIAAAACMBAABkcnMvZTJvRG9jLnhtbFBLBQYAAAAABgAGAFkBAABuBQAAAAA=&#10;">
              <v:fill on="f" focussize="0,0"/>
              <v:stroke on="f"/>
              <v:imagedata o:title=""/>
              <o:lock v:ext="edit" aspectratio="f"/>
              <v:textbox inset="0mm,0mm,0mm,0mm">
                <w:txbxContent>
                  <w:p>
                    <w:pPr>
                      <w:widowControl w:val="0"/>
                      <w:snapToGrid w:val="0"/>
                      <w:jc w:val="center"/>
                    </w:pPr>
                    <w:r>
                      <w:rPr>
                        <w:rStyle w:val="12"/>
                        <w:rFonts w:hint="eastAsia" w:ascii="宋体" w:hAnsi="Times New Roman" w:eastAsia="宋体" w:cs="Times New Roman"/>
                        <w:kern w:val="2"/>
                        <w:sz w:val="28"/>
                        <w:szCs w:val="28"/>
                        <w:lang w:val="en-US" w:eastAsia="zh-CN" w:bidi="ar-SA"/>
                      </w:rPr>
                      <w:fldChar w:fldCharType="begin"/>
                    </w:r>
                    <w:r>
                      <w:rPr>
                        <w:rStyle w:val="12"/>
                        <w:rFonts w:hint="eastAsia" w:ascii="宋体" w:hAnsi="Times New Roman" w:eastAsia="宋体" w:cs="Times New Roman"/>
                        <w:kern w:val="2"/>
                        <w:sz w:val="28"/>
                        <w:szCs w:val="28"/>
                        <w:lang w:val="en-US" w:eastAsia="zh-CN" w:bidi="ar-SA"/>
                      </w:rPr>
                      <w:instrText xml:space="preserve">PAGE  </w:instrText>
                    </w:r>
                    <w:r>
                      <w:rPr>
                        <w:rStyle w:val="12"/>
                        <w:rFonts w:hint="eastAsia" w:ascii="宋体" w:hAnsi="Times New Roman" w:eastAsia="宋体" w:cs="Times New Roman"/>
                        <w:kern w:val="2"/>
                        <w:sz w:val="28"/>
                        <w:szCs w:val="28"/>
                        <w:lang w:val="en-US" w:eastAsia="zh-CN" w:bidi="ar-SA"/>
                      </w:rPr>
                      <w:fldChar w:fldCharType="separate"/>
                    </w:r>
                    <w:r>
                      <w:rPr>
                        <w:rStyle w:val="12"/>
                        <w:rFonts w:hint="eastAsia" w:ascii="宋体" w:hAnsi="Times New Roman" w:eastAsia="宋体" w:cs="Times New Roman"/>
                        <w:kern w:val="2"/>
                        <w:sz w:val="28"/>
                        <w:szCs w:val="28"/>
                        <w:lang w:val="en-US" w:eastAsia="zh-CN" w:bidi="ar-SA"/>
                      </w:rPr>
                      <w:t>- 1 -</w:t>
                    </w:r>
                    <w:r>
                      <w:rPr>
                        <w:rStyle w:val="12"/>
                        <w:rFonts w:hint="eastAsia" w:ascii="宋体" w:hAnsi="Times New Roman" w:eastAsia="宋体" w:cs="Times New Roman"/>
                        <w:kern w:val="2"/>
                        <w:sz w:val="28"/>
                        <w:szCs w:val="2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- 11 -</w:t>
                          </w:r>
                          <w:r>
                            <w:rPr>
                              <w:rFonts w:hint="eastAsia" w:ascii="宋体" w:hAnsi="宋体" w:eastAsia="宋体" w:cs="宋体"/>
                              <w:sz w:val="28"/>
                              <w:szCs w:val="32"/>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fB6d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bXnDlhaeDn79/OP36df35l&#10;y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GN8Hp3gEAAL4DAAAOAAAAAAAA&#10;AAEAIAAAAB4BAABkcnMvZTJvRG9jLnhtbFBLBQYAAAAABgAGAFkBAABuBQ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- 11 -</w:t>
                    </w:r>
                    <w:r>
                      <w:rPr>
                        <w:rFonts w:hint="eastAsia" w:ascii="宋体" w:hAnsi="宋体" w:eastAsia="宋体" w:cs="宋体"/>
                        <w:sz w:val="28"/>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uppressAutoHyphens/>
      <w:snapToGrid w:val="0"/>
      <w:ind w:right="360" w:firstLine="360"/>
      <w:jc w:val="right"/>
      <w:rPr>
        <w:rFonts w:hint="eastAsia" w:ascii="宋体" w:eastAsia="宋体" w:cs="Times New Roman"/>
        <w:sz w:val="28"/>
        <w:szCs w:val="28"/>
        <w:lang w:bidi="ar-SA"/>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H7t0BAAC+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MlTpN7HHpOFw26YCO18cyI+9AyoTufhG2c9LUHN&#10;He08Z+a9I43TvswGzMZuNoSTdLHmyNlovsVxrw4B9L7Lm5aaiuHmgNRpJpDaGGtP3dFYswTTCqa9&#10;eXjOWffPbv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Rfx+7dAQAAvgMAAA4AAAAAAAAA&#10;AQAgAAAAHg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- 14 -</w:t>
                          </w:r>
                          <w:r>
                            <w:rPr>
                              <w:rFonts w:hint="eastAsia" w:ascii="宋体" w:hAnsi="宋体" w:eastAsia="宋体" w:cs="宋体"/>
                              <w:sz w:val="28"/>
                              <w:szCs w:val="32"/>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OED90BAAC+AwAADgAAAGRycy9lMm9Eb2MueG1srVPNjtMwEL4j8Q6W&#10;7zTZHlA3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GDhA/dAQAAvgMAAA4AAAAAAAAA&#10;AQAgAAAAHgEAAGRycy9lMm9Eb2MueG1sUEsFBgAAAAAGAAYAWQEAAG0FA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- 14 -</w:t>
                    </w:r>
                    <w:r>
                      <w:rPr>
                        <w:rFonts w:hint="eastAsia" w:ascii="宋体" w:hAnsi="宋体" w:eastAsia="宋体" w:cs="宋体"/>
                        <w:sz w:val="28"/>
                        <w:szCs w:val="3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uppressAutoHyphens/>
      <w:snapToGrid w:val="0"/>
      <w:ind w:right="360" w:firstLine="360"/>
      <w:jc w:val="right"/>
      <w:rPr>
        <w:rFonts w:hint="eastAsia" w:ascii="宋体" w:eastAsia="宋体" w:cs="Times New Roman"/>
        <w:sz w:val="28"/>
        <w:szCs w:val="28"/>
        <w:lang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287"/>
  <w:drawingGridVerticalSpacing w:val="439"/>
  <w:displayHorizontalDrawingGridEvery w:val="1"/>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A4"/>
    <w:rsid w:val="50EB4CFB"/>
    <w:rsid w:val="7CEFDC7B"/>
    <w:rsid w:val="9FFE9F32"/>
    <w:rsid w:val="BBDF26B0"/>
    <w:rsid w:val="F9B15C2C"/>
    <w:rsid w:val="FFBFF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next w:val="1"/>
    <w:uiPriority w:val="0"/>
    <w:pPr>
      <w:keepNext/>
      <w:keepLines/>
      <w:widowControl w:val="0"/>
      <w:spacing w:before="260" w:after="260" w:line="415" w:lineRule="auto"/>
      <w:jc w:val="both"/>
      <w:outlineLvl w:val="1"/>
    </w:pPr>
    <w:rPr>
      <w:rFonts w:ascii="Arial" w:hAnsi="Arial" w:eastAsia="黑体" w:cs="Times New Roman"/>
      <w:b/>
      <w:kern w:val="2"/>
      <w:sz w:val="32"/>
      <w:szCs w:val="24"/>
      <w:lang w:val="en-US" w:eastAsia="zh-CN" w:bidi="ar-SA"/>
    </w:rPr>
  </w:style>
  <w:style w:type="character" w:default="1" w:styleId="11">
    <w:name w:val="Default Paragraph Fon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3">
    <w:name w:val="index 5"/>
    <w:next w:val="1"/>
    <w:uiPriority w:val="0"/>
    <w:pPr>
      <w:widowControl w:val="0"/>
      <w:ind w:left="800" w:leftChars="800"/>
      <w:jc w:val="both"/>
    </w:pPr>
    <w:rPr>
      <w:rFonts w:ascii="Calibri" w:hAnsi="Calibri" w:eastAsia="仿宋" w:cs="Arial"/>
      <w:kern w:val="2"/>
      <w:sz w:val="32"/>
      <w:szCs w:val="22"/>
      <w:lang w:val="en-US" w:eastAsia="zh-CN" w:bidi="ar-SA"/>
    </w:rPr>
  </w:style>
  <w:style w:type="paragraph" w:styleId="4">
    <w:name w:val="Salutation"/>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仿宋_GB2312" w:cs="Arial"/>
      <w:snapToGrid/>
      <w:color w:val="auto"/>
      <w:spacing w:val="0"/>
      <w:w w:val="100"/>
      <w:kern w:val="2"/>
      <w:position w:val="0"/>
      <w:sz w:val="30"/>
      <w:szCs w:val="52"/>
      <w:u w:val="none" w:color="auto"/>
      <w:vertAlign w:val="baseline"/>
      <w:lang w:val="en-US" w:eastAsia="zh-CN" w:bidi="ar-SA"/>
    </w:rPr>
  </w:style>
  <w:style w:type="paragraph" w:styleId="5">
    <w:name w:val="Body Text"/>
    <w:basedOn w:val="1"/>
    <w:uiPriority w:val="0"/>
    <w:pPr>
      <w:jc w:val="center"/>
    </w:pPr>
    <w:rPr>
      <w:b/>
    </w:r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7"/>
      </w:tabs>
      <w:snapToGrid w:val="0"/>
      <w:jc w:val="center"/>
    </w:pPr>
    <w:rPr>
      <w:sz w:val="18"/>
    </w:rPr>
  </w:style>
  <w:style w:type="paragraph" w:styleId="9">
    <w:name w:val="Body Text 2"/>
    <w:basedOn w:val="1"/>
    <w:uiPriority w:val="0"/>
    <w:rPr>
      <w:sz w:val="84"/>
    </w:rPr>
  </w:style>
  <w:style w:type="character" w:styleId="12">
    <w:name w:val="page number"/>
    <w:basedOn w:val="11"/>
    <w:uiPriority w:val="0"/>
  </w:style>
  <w:style w:type="paragraph" w:customStyle="1" w:styleId="13">
    <w:name w:val="ParaC"/>
    <w:basedOn w:val="1"/>
    <w:uiPriority w:val="0"/>
    <w:pPr>
      <w:spacing w:line="360" w:lineRule="auto"/>
    </w:pPr>
    <w:rPr>
      <w:sz w:val="28"/>
      <w:szCs w:val="24"/>
    </w:rPr>
  </w:style>
  <w:style w:type="paragraph" w:customStyle="1" w:styleId="14">
    <w:name w:val="无间隔1"/>
    <w:next w:val="5"/>
    <w:uiPriority w:val="0"/>
    <w:pPr>
      <w:widowControl w:val="0"/>
      <w:ind w:firstLine="200" w:firstLineChars="200"/>
      <w:jc w:val="both"/>
    </w:pPr>
    <w:rPr>
      <w:rFonts w:ascii="仿宋" w:eastAsia="仿宋" w:cs="仿宋_GB2312"/>
      <w:color w:val="000000"/>
      <w:kern w:val="2"/>
      <w:sz w:val="30"/>
      <w:szCs w:val="30"/>
      <w:lang w:val="en-US" w:eastAsia="zh-CN" w:bidi="ar-SA"/>
    </w:rPr>
  </w:style>
  <w:style w:type="paragraph" w:customStyle="1" w:styleId="15">
    <w:name w:val="msonospacing"/>
    <w:next w:val="7"/>
    <w:uiPriority w:val="0"/>
    <w:pPr>
      <w:widowControl w:val="0"/>
      <w:spacing w:line="360" w:lineRule="auto"/>
      <w:jc w:val="center"/>
    </w:pPr>
    <w:rPr>
      <w:rFonts w:ascii="Times New Roman" w:hAnsi="Times New Roman" w:eastAsia="华文中宋" w:cs="Arial"/>
      <w:kern w:val="2"/>
      <w:sz w:val="44"/>
      <w:szCs w:val="20"/>
      <w:lang w:val="en-US" w:eastAsia="zh-CN" w:bidi="ar-SA"/>
    </w:rPr>
  </w:style>
  <w:style w:type="paragraph" w:customStyle="1" w:styleId="16">
    <w:name w:val="Table Paragraph"/>
    <w:next w:val="3"/>
    <w:qFormat/>
    <w:uiPriority w:val="0"/>
    <w:pPr>
      <w:keepNext w:val="0"/>
      <w:keepLines w:val="0"/>
      <w:widowControl w:val="0"/>
      <w:suppressLineNumbers w:val="0"/>
      <w:autoSpaceDE w:val="0"/>
      <w:autoSpaceDN w:val="0"/>
      <w:spacing w:before="0" w:beforeAutospacing="0" w:after="0" w:afterAutospacing="0" w:line="240" w:lineRule="auto"/>
      <w:ind w:left="0" w:firstLine="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16</Pages>
  <Words>5318</Words>
  <Characters>5433</Characters>
  <TotalTime>131</TotalTime>
  <ScaleCrop>false</ScaleCrop>
  <LinksUpToDate>false</LinksUpToDate>
  <CharactersWithSpaces>5655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2012-02-21T09:25:00Z</dcterms:created>
  <dc:creator>a</dc:creator>
  <cp:lastModifiedBy>戏子如画</cp:lastModifiedBy>
  <cp:lastPrinted>2023-06-15T01:28:31Z</cp:lastPrinted>
  <dcterms:modified xsi:type="dcterms:W3CDTF">2023-07-25T02:46:04Z</dcterms:modified>
  <dc:title>闽环保[2000]号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2052-11.1.0.9564</vt:lpwstr>
  </property>
  <property fmtid="{D5CDD505-2E9C-101B-9397-08002B2CF9AE}" pid="3" name="KSOProductBuildVer">
    <vt:lpwstr>2052-11.1.0.14309</vt:lpwstr>
  </property>
  <property fmtid="{D5CDD505-2E9C-101B-9397-08002B2CF9AE}" pid="4" name="ICV">
    <vt:lpwstr>1168DEB83F294C2AB0D1F1F549737FC2_13</vt:lpwstr>
  </property>
</Properties>
</file>