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9818891">
      <w:pPr>
        <w:keepNext w:val="0"/>
        <w:keepLines w:val="0"/>
        <w:pageBreakBefore w:val="0"/>
        <w:widowControl w:val="0"/>
        <w:suppressLineNumbers w:val="0"/>
        <w:kinsoku/>
        <w:wordWrap w:val="0"/>
        <w:overflowPunct/>
        <w:topLinePunct w:val="0"/>
        <w:autoSpaceDE/>
        <w:autoSpaceDN/>
        <w:bidi w:val="0"/>
        <w:adjustRightInd/>
        <w:snapToGrid w:val="0"/>
        <w:spacing w:before="1400" w:beforeAutospacing="0" w:afterAutospacing="0" w:line="240" w:lineRule="auto"/>
        <w:ind w:left="0" w:leftChars="0" w:right="250" w:rightChars="119" w:firstLine="0" w:firstLineChars="0"/>
        <w:jc w:val="right"/>
        <w:textAlignment w:val="auto"/>
        <w:outlineLvl w:val="9"/>
        <w:rPr>
          <w:rFonts w:hint="eastAsia" w:ascii="仿宋" w:hAnsi="仿宋" w:eastAsia="仿宋" w:cs="仿宋"/>
          <w:kern w:val="2"/>
          <w:sz w:val="32"/>
          <w:szCs w:val="32"/>
          <w:highlight w:val="none"/>
          <w:lang w:val="en-US" w:eastAsia="zh-CN" w:bidi="ar"/>
        </w:rPr>
      </w:pPr>
      <w:r>
        <w:rPr>
          <w:rFonts w:hint="eastAsia" w:ascii="仿宋_GB2312" w:hAnsi="仿宋_GB2312" w:eastAsia="仿宋_GB2312" w:cs="仿宋_GB2312"/>
          <w:kern w:val="2"/>
          <w:sz w:val="32"/>
          <w:szCs w:val="32"/>
          <w:highlight w:val="none"/>
          <w:lang w:val="en-US" w:eastAsia="zh-CN" w:bidi="ar"/>
        </w:rPr>
        <w:t>榕环评〔2025〕8号</w:t>
      </w:r>
    </w:p>
    <w:p w14:paraId="1DA52AE8">
      <w:pPr>
        <w:keepNext w:val="0"/>
        <w:keepLines w:val="0"/>
        <w:widowControl w:val="0"/>
        <w:suppressLineNumbers w:val="0"/>
        <w:snapToGrid w:val="0"/>
        <w:spacing w:before="1200" w:beforeAutospacing="0" w:after="0" w:afterAutospacing="0"/>
        <w:ind w:left="0" w:right="0"/>
        <w:jc w:val="center"/>
        <w:rPr>
          <w:rFonts w:hint="eastAsia" w:ascii="长城小标宋体" w:hAnsi="长城小标宋体" w:eastAsia="长城小标宋体" w:cs="长城小标宋体"/>
          <w:kern w:val="2"/>
          <w:sz w:val="40"/>
          <w:szCs w:val="40"/>
          <w:highlight w:val="none"/>
          <w:lang w:val="en-US" w:eastAsia="zh-CN" w:bidi="ar"/>
        </w:rPr>
      </w:pPr>
      <w:r>
        <w:rPr>
          <w:rFonts w:hint="eastAsia" w:ascii="长城小标宋体" w:hAnsi="长城小标宋体" w:eastAsia="长城小标宋体" w:cs="长城小标宋体"/>
          <w:kern w:val="2"/>
          <w:sz w:val="40"/>
          <w:szCs w:val="40"/>
          <w:highlight w:val="none"/>
          <w:lang w:val="en-US" w:eastAsia="zh-CN" w:bidi="ar"/>
        </w:rPr>
        <w:t>福州市生态环境局关于福建力兴机电</w:t>
      </w:r>
    </w:p>
    <w:p w14:paraId="33E807B6">
      <w:pPr>
        <w:keepNext w:val="0"/>
        <w:keepLines w:val="0"/>
        <w:pageBreakBefore w:val="0"/>
        <w:widowControl w:val="0"/>
        <w:suppressLineNumbers w:val="0"/>
        <w:kinsoku/>
        <w:wordWrap/>
        <w:overflowPunct/>
        <w:topLinePunct w:val="0"/>
        <w:autoSpaceDE/>
        <w:autoSpaceDN/>
        <w:bidi w:val="0"/>
        <w:adjustRightInd/>
        <w:snapToGrid w:val="0"/>
        <w:spacing w:beforeAutospacing="0" w:after="0" w:afterAutospacing="0"/>
        <w:ind w:left="0" w:right="0"/>
        <w:jc w:val="center"/>
        <w:textAlignment w:val="auto"/>
        <w:rPr>
          <w:rFonts w:hint="eastAsia" w:ascii="长城小标宋体" w:hAnsi="长城小标宋体" w:eastAsia="长城小标宋体" w:cs="长城小标宋体"/>
          <w:kern w:val="2"/>
          <w:sz w:val="40"/>
          <w:szCs w:val="40"/>
          <w:highlight w:val="none"/>
          <w:lang w:val="en-US" w:eastAsia="zh-CN" w:bidi="ar"/>
        </w:rPr>
      </w:pPr>
      <w:r>
        <w:rPr>
          <w:rFonts w:hint="eastAsia" w:ascii="长城小标宋体" w:hAnsi="长城小标宋体" w:eastAsia="长城小标宋体" w:cs="长城小标宋体"/>
          <w:kern w:val="2"/>
          <w:sz w:val="40"/>
          <w:szCs w:val="40"/>
          <w:highlight w:val="none"/>
          <w:lang w:val="en-US" w:eastAsia="zh-CN" w:bidi="ar"/>
        </w:rPr>
        <w:t>设备器材有限公司年收集贮存危险废物5000</w:t>
      </w:r>
    </w:p>
    <w:p w14:paraId="35300938">
      <w:pPr>
        <w:keepNext w:val="0"/>
        <w:keepLines w:val="0"/>
        <w:pageBreakBefore w:val="0"/>
        <w:widowControl w:val="0"/>
        <w:suppressLineNumbers w:val="0"/>
        <w:kinsoku/>
        <w:wordWrap/>
        <w:overflowPunct/>
        <w:topLinePunct w:val="0"/>
        <w:autoSpaceDE/>
        <w:autoSpaceDN/>
        <w:bidi w:val="0"/>
        <w:adjustRightInd/>
        <w:snapToGrid w:val="0"/>
        <w:spacing w:beforeAutospacing="0" w:after="0" w:afterAutospacing="0"/>
        <w:ind w:left="0" w:right="0"/>
        <w:jc w:val="center"/>
        <w:textAlignment w:val="auto"/>
        <w:rPr>
          <w:rFonts w:hint="default" w:ascii="长城小标宋体" w:hAnsi="长城小标宋体" w:eastAsia="长城小标宋体" w:cs="长城小标宋体"/>
          <w:sz w:val="40"/>
          <w:szCs w:val="40"/>
          <w:highlight w:val="none"/>
          <w:lang w:val="en-US"/>
        </w:rPr>
      </w:pPr>
      <w:r>
        <w:rPr>
          <w:rFonts w:hint="eastAsia" w:ascii="长城小标宋体" w:hAnsi="长城小标宋体" w:eastAsia="长城小标宋体" w:cs="长城小标宋体"/>
          <w:kern w:val="2"/>
          <w:sz w:val="40"/>
          <w:szCs w:val="40"/>
          <w:highlight w:val="none"/>
          <w:lang w:val="en-US" w:eastAsia="zh-CN" w:bidi="ar"/>
        </w:rPr>
        <w:t>吨项目环境影响报告表的审批意见</w:t>
      </w:r>
    </w:p>
    <w:p w14:paraId="44ADCA58">
      <w:pPr>
        <w:keepNext w:val="0"/>
        <w:keepLines w:val="0"/>
        <w:widowControl w:val="0"/>
        <w:suppressLineNumbers w:val="0"/>
        <w:snapToGrid w:val="0"/>
        <w:spacing w:before="0" w:beforeAutospacing="0" w:after="0" w:afterAutospacing="0" w:line="600" w:lineRule="exact"/>
        <w:ind w:left="0" w:right="0"/>
        <w:jc w:val="both"/>
        <w:rPr>
          <w:rFonts w:hint="eastAsia" w:ascii="仿宋_GB2312" w:hAnsi="Times New Roman" w:eastAsia="仿宋_GB2312" w:cs="仿宋_GB2312"/>
          <w:kern w:val="2"/>
          <w:sz w:val="32"/>
          <w:szCs w:val="32"/>
          <w:highlight w:val="none"/>
          <w:lang w:val="en-US" w:eastAsia="zh-CN" w:bidi="ar"/>
        </w:rPr>
      </w:pPr>
    </w:p>
    <w:p w14:paraId="40353161">
      <w:pPr>
        <w:keepNext w:val="0"/>
        <w:keepLines w:val="0"/>
        <w:widowControl w:val="0"/>
        <w:suppressLineNumbers w:val="0"/>
        <w:snapToGrid w:val="0"/>
        <w:spacing w:before="0" w:beforeAutospacing="0" w:after="0" w:afterAutospacing="0" w:line="600" w:lineRule="exact"/>
        <w:ind w:left="0" w:right="0"/>
        <w:jc w:val="both"/>
        <w:rPr>
          <w:rFonts w:hint="eastAsia" w:ascii="仿宋_GB2312" w:eastAsia="仿宋_GB2312" w:cs="仿宋_GB2312"/>
          <w:sz w:val="32"/>
          <w:szCs w:val="32"/>
          <w:highlight w:val="none"/>
          <w:lang w:val="en-US"/>
        </w:rPr>
      </w:pPr>
      <w:r>
        <w:rPr>
          <w:rFonts w:hint="eastAsia" w:ascii="仿宋_GB2312" w:hAnsi="Times New Roman" w:eastAsia="仿宋_GB2312" w:cs="仿宋_GB2312"/>
          <w:kern w:val="2"/>
          <w:sz w:val="32"/>
          <w:szCs w:val="32"/>
          <w:highlight w:val="none"/>
          <w:lang w:val="en-US" w:eastAsia="zh-CN" w:bidi="ar"/>
        </w:rPr>
        <w:t>福建力兴机电设备器材有限公司：</w:t>
      </w:r>
    </w:p>
    <w:p w14:paraId="40CAB124">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hAnsi="仿宋_GB2312" w:eastAsia="仿宋_GB2312" w:cs="仿宋_GB2312"/>
          <w:b w:val="0"/>
          <w:kern w:val="2"/>
          <w:sz w:val="24"/>
          <w:szCs w:val="24"/>
          <w:highlight w:val="none"/>
          <w:lang w:val="en-US" w:eastAsia="zh-CN" w:bidi="ar-SA"/>
        </w:rPr>
      </w:pPr>
      <w:r>
        <w:rPr>
          <w:rFonts w:hint="eastAsia" w:ascii="仿宋_GB2312" w:hAnsi="Times New Roman" w:eastAsia="仿宋_GB2312" w:cs="仿宋_GB2312"/>
          <w:kern w:val="2"/>
          <w:sz w:val="32"/>
          <w:szCs w:val="32"/>
          <w:highlight w:val="none"/>
          <w:lang w:val="en-US" w:eastAsia="zh-CN" w:bidi="ar"/>
        </w:rPr>
        <w:t>你司报送的《福建力兴机电设备器材有限公司年收集贮存危险废物5000吨项目环境影响报告表》(以下简称《报告表》)收悉。根据《环境影响评价法》第二十二条等规定，并征求福州市长乐生态环境局意见，现提出审批意见如下：</w:t>
      </w:r>
    </w:p>
    <w:p w14:paraId="32399B86">
      <w:pPr>
        <w:keepNext w:val="0"/>
        <w:keepLines w:val="0"/>
        <w:widowControl w:val="0"/>
        <w:numPr>
          <w:ilvl w:val="0"/>
          <w:numId w:val="0"/>
        </w:numPr>
        <w:suppressLineNumbers w:val="0"/>
        <w:snapToGrid w:val="0"/>
        <w:spacing w:before="0" w:beforeAutospacing="0" w:after="0" w:afterAutospacing="0" w:line="600" w:lineRule="exact"/>
        <w:ind w:right="0" w:rightChars="0" w:firstLine="640" w:firstLineChars="200"/>
        <w:jc w:val="both"/>
        <w:rPr>
          <w:rFonts w:hint="eastAsia"/>
          <w:highlight w:val="none"/>
          <w:lang w:val="en-US" w:eastAsia="zh-CN"/>
        </w:rPr>
      </w:pPr>
      <w:r>
        <w:rPr>
          <w:rFonts w:hint="eastAsia" w:ascii="仿宋_GB2312" w:hAnsi="Times New Roman" w:eastAsia="仿宋_GB2312" w:cs="宋体"/>
          <w:kern w:val="0"/>
          <w:sz w:val="32"/>
          <w:szCs w:val="32"/>
          <w:highlight w:val="none"/>
          <w:lang w:val="en-US" w:eastAsia="zh-CN" w:bidi="ar"/>
        </w:rPr>
        <w:t>一、</w:t>
      </w:r>
      <w:r>
        <w:rPr>
          <w:rFonts w:hint="eastAsia" w:ascii="仿宋_GB2312" w:hAnsi="Times New Roman" w:eastAsia="仿宋_GB2312" w:cs="仿宋_GB2312"/>
          <w:kern w:val="2"/>
          <w:sz w:val="32"/>
          <w:szCs w:val="32"/>
          <w:highlight w:val="none"/>
          <w:lang w:val="en-US" w:eastAsia="zh-CN" w:bidi="ar"/>
        </w:rPr>
        <w:t>福建力兴机电设备器材有限公司年收集贮存危险废物5000吨项目</w:t>
      </w:r>
      <w:r>
        <w:rPr>
          <w:rFonts w:hint="eastAsia" w:ascii="仿宋_GB2312" w:hAnsi="Times New Roman" w:eastAsia="仿宋_GB2312" w:cs="宋体"/>
          <w:kern w:val="0"/>
          <w:sz w:val="32"/>
          <w:szCs w:val="32"/>
          <w:highlight w:val="none"/>
          <w:lang w:val="en-US" w:eastAsia="zh-CN" w:bidi="ar"/>
        </w:rPr>
        <w:t>位于福州市长乐区漳港街道山边村西路666号，利用厂区范围内现有2#车间空置区域（约1300</w:t>
      </w:r>
      <w:r>
        <w:rPr>
          <w:rFonts w:hint="default" w:ascii="仿宋_GB2312" w:hAnsi="Times New Roman" w:eastAsia="仿宋_GB2312" w:cs="宋体"/>
          <w:kern w:val="0"/>
          <w:sz w:val="32"/>
          <w:szCs w:val="32"/>
          <w:highlight w:val="none"/>
          <w:lang w:val="en-US" w:eastAsia="zh-CN" w:bidi="ar"/>
        </w:rPr>
        <w:t>m</w:t>
      </w:r>
      <w:r>
        <w:rPr>
          <w:rFonts w:hint="default" w:ascii="仿宋_GB2312" w:hAnsi="Times New Roman" w:eastAsia="仿宋_GB2312" w:cs="宋体"/>
          <w:kern w:val="0"/>
          <w:sz w:val="32"/>
          <w:szCs w:val="32"/>
          <w:highlight w:val="none"/>
          <w:vertAlign w:val="superscript"/>
          <w:lang w:val="en-US" w:eastAsia="zh-CN" w:bidi="ar"/>
        </w:rPr>
        <w:t>2</w:t>
      </w:r>
      <w:r>
        <w:rPr>
          <w:rFonts w:hint="eastAsia" w:ascii="仿宋_GB2312" w:hAnsi="Times New Roman" w:eastAsia="仿宋_GB2312" w:cs="宋体"/>
          <w:kern w:val="0"/>
          <w:sz w:val="32"/>
          <w:szCs w:val="32"/>
          <w:highlight w:val="none"/>
          <w:lang w:val="en-US" w:eastAsia="zh-CN" w:bidi="ar"/>
        </w:rPr>
        <w:t>）建设废铅酸蓄电池及小微企业危险废物收集贮存项目，年收集、贮存及转运危险废物5000吨。根据《报告表》评价结论，该项目建设符合生态环境保护相关法律法规和政策，符合生态环境分区管控、所在园区规划及规划环评要求，在严格落实《报告表》提出的各项生态环境保护和环境风险防控措施，加强环境管理的前提下，从环境影响角度分析，项目建设可行。我局原则同意《报告表》中所列建设项目的性质、规模、地点、工艺和拟采取的环境保护对策措施。</w:t>
      </w:r>
    </w:p>
    <w:p w14:paraId="06CEC895">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hAnsi="Times New Roman" w:eastAsia="仿宋_GB2312" w:cs="宋体"/>
          <w:kern w:val="0"/>
          <w:sz w:val="32"/>
          <w:szCs w:val="32"/>
          <w:highlight w:val="none"/>
          <w:lang w:val="en-US" w:eastAsia="zh-CN" w:bidi="ar"/>
        </w:rPr>
      </w:pPr>
      <w:r>
        <w:rPr>
          <w:rFonts w:hint="eastAsia" w:ascii="仿宋_GB2312" w:hAnsi="Times New Roman" w:eastAsia="仿宋_GB2312" w:cs="宋体"/>
          <w:kern w:val="0"/>
          <w:sz w:val="32"/>
          <w:szCs w:val="32"/>
          <w:highlight w:val="none"/>
          <w:lang w:val="en-US" w:eastAsia="zh-CN" w:bidi="ar"/>
        </w:rPr>
        <w:t>二、项目应严格落实《福州市生态环境局关于印发福州市危险废物收集改革试点布局方案的通知》（榕环保综〔2024〕47号）要求，在项目建设和</w:t>
      </w:r>
      <w:r>
        <w:rPr>
          <w:rFonts w:hint="eastAsia" w:ascii="仿宋_GB2312" w:hAnsi="宋体" w:eastAsia="仿宋_GB2312" w:cs="仿宋_GB2312"/>
          <w:kern w:val="2"/>
          <w:sz w:val="32"/>
          <w:szCs w:val="32"/>
          <w:highlight w:val="none"/>
          <w:lang w:val="en-US" w:eastAsia="zh-CN" w:bidi="ar"/>
        </w:rPr>
        <w:t>生产管理过程</w:t>
      </w:r>
      <w:r>
        <w:rPr>
          <w:rFonts w:hint="eastAsia" w:ascii="仿宋_GB2312" w:hAnsi="Times New Roman" w:eastAsia="仿宋_GB2312" w:cs="宋体"/>
          <w:kern w:val="0"/>
          <w:sz w:val="32"/>
          <w:szCs w:val="32"/>
          <w:highlight w:val="none"/>
          <w:lang w:val="en-US" w:eastAsia="zh-CN" w:bidi="ar"/>
        </w:rPr>
        <w:t>中，认真落实《报告表》提出的各项生态环境保护措施和要求，采取严格有效的污染防治、环境风险防控措施，确保各类污染物达标排放，环境风险有效防控。着重做好以下工作：</w:t>
      </w:r>
    </w:p>
    <w:p w14:paraId="20C66726">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hAnsi="Times New Roman" w:eastAsia="仿宋_GB2312" w:cs="宋体"/>
          <w:kern w:val="0"/>
          <w:sz w:val="32"/>
          <w:szCs w:val="32"/>
          <w:highlight w:val="none"/>
          <w:lang w:val="en-US" w:eastAsia="zh-CN" w:bidi="ar"/>
        </w:rPr>
      </w:pPr>
      <w:r>
        <w:rPr>
          <w:rFonts w:hint="eastAsia" w:ascii="仿宋_GB2312" w:hAnsi="Times New Roman" w:eastAsia="仿宋_GB2312" w:cs="宋体"/>
          <w:kern w:val="0"/>
          <w:sz w:val="32"/>
          <w:szCs w:val="32"/>
          <w:highlight w:val="none"/>
          <w:lang w:val="en-US" w:eastAsia="zh-CN" w:bidi="ar"/>
        </w:rPr>
        <w:t>（一）危险废物贮存库应实行密闭管理，废气经收集处理后由排气筒引至不低于15米高空排放。项目非甲烷总烃、氯化氢、硫酸雾排放执行《大气污染物综合排放标准》（GB16297-1996）表2中二级排放限值及厂界无组织排放监控浓度限值；厂区内非甲烷总烃无组织排放执行《挥发性有机物无组织排放控制标准》(GB37822-2019)附录A表A.1排放限值；氨、硫化氢、臭气浓度有组织排放执行《恶臭污染物排放标准》（GB14554-93）表2中标准,厂界无组织排放执行表1中二级新扩改建标准。</w:t>
      </w:r>
    </w:p>
    <w:p w14:paraId="1B8E54C7">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hAnsi="Times New Roman" w:eastAsia="仿宋_GB2312" w:cs="宋体"/>
          <w:kern w:val="0"/>
          <w:sz w:val="32"/>
          <w:szCs w:val="32"/>
          <w:highlight w:val="none"/>
          <w:lang w:val="en-US" w:eastAsia="zh-CN" w:bidi="ar"/>
        </w:rPr>
      </w:pPr>
      <w:r>
        <w:rPr>
          <w:rFonts w:hint="eastAsia" w:ascii="仿宋_GB2312" w:hAnsi="Times New Roman" w:eastAsia="仿宋_GB2312" w:cs="宋体"/>
          <w:kern w:val="0"/>
          <w:sz w:val="32"/>
          <w:szCs w:val="32"/>
          <w:highlight w:val="none"/>
          <w:lang w:val="en-US" w:eastAsia="zh-CN" w:bidi="ar"/>
        </w:rPr>
        <w:t>（二）项目废气喷淋废水及车间清洁废水作为危险废物委托有资质单位处理处置。生活污水经化粪池处理达到《污水综合排放标准》（GB8978-1996）表4三级标准后，接入市政污水管网，纳入潭头污水处理厂处理。</w:t>
      </w:r>
    </w:p>
    <w:p w14:paraId="7727254F">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hAnsi="Times New Roman" w:eastAsia="仿宋_GB2312" w:cs="宋体"/>
          <w:kern w:val="0"/>
          <w:sz w:val="32"/>
          <w:szCs w:val="32"/>
          <w:highlight w:val="none"/>
          <w:lang w:val="en-US" w:eastAsia="zh-CN" w:bidi="ar"/>
        </w:rPr>
      </w:pPr>
      <w:r>
        <w:rPr>
          <w:rFonts w:hint="eastAsia" w:ascii="仿宋_GB2312" w:hAnsi="Times New Roman" w:eastAsia="仿宋_GB2312" w:cs="宋体"/>
          <w:kern w:val="0"/>
          <w:sz w:val="32"/>
          <w:szCs w:val="32"/>
          <w:highlight w:val="none"/>
          <w:lang w:val="en-US" w:eastAsia="zh-CN" w:bidi="ar"/>
        </w:rPr>
        <w:t>（三）优先选择低噪声设备和工艺，采取消声、隔声、减振等措施有效控制噪声污染，确保厂界噪声达到《工业企业厂界环境噪声排放标准》（GB12348-2008）3类标准。</w:t>
      </w:r>
    </w:p>
    <w:p w14:paraId="2A1B38C9">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hAnsi="Times New Roman" w:eastAsia="仿宋_GB2312" w:cs="宋体"/>
          <w:kern w:val="0"/>
          <w:sz w:val="32"/>
          <w:szCs w:val="32"/>
          <w:highlight w:val="none"/>
          <w:lang w:val="en-US" w:eastAsia="zh-CN" w:bidi="ar"/>
        </w:rPr>
      </w:pPr>
      <w:r>
        <w:rPr>
          <w:rFonts w:hint="eastAsia" w:ascii="仿宋_GB2312" w:hAnsi="Times New Roman" w:eastAsia="仿宋_GB2312" w:cs="宋体"/>
          <w:kern w:val="0"/>
          <w:sz w:val="32"/>
          <w:szCs w:val="32"/>
          <w:highlight w:val="none"/>
          <w:lang w:val="en-US" w:eastAsia="zh-CN" w:bidi="ar"/>
        </w:rPr>
        <w:t>（四）项目产生的废包装材料、废劳保用品、废气喷淋废水、车间清洁废水、废抹布拖把、废活性炭等危险废物依托危险废物贮存库分类分区暂存。你司应按规范建立固体废物管理台账</w:t>
      </w:r>
      <w:bookmarkStart w:id="0" w:name="_GoBack"/>
      <w:bookmarkEnd w:id="0"/>
      <w:r>
        <w:rPr>
          <w:rFonts w:hint="eastAsia" w:ascii="仿宋_GB2312" w:hAnsi="Times New Roman" w:eastAsia="仿宋_GB2312" w:cs="宋体"/>
          <w:kern w:val="0"/>
          <w:sz w:val="32"/>
          <w:szCs w:val="32"/>
          <w:highlight w:val="none"/>
          <w:lang w:val="en-US" w:eastAsia="zh-CN" w:bidi="ar"/>
        </w:rPr>
        <w:t>，定期转移危险废物，并加强全过程规范化管理，避免造成二次污染。危险废物临时贮存执行《危险废物贮存污染控制标准》（GB18597-2023）中相关规定，转移管理执行《危险废物转移管理办法》（部令第23号）中相关规定。</w:t>
      </w:r>
    </w:p>
    <w:p w14:paraId="049A559E">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hAnsi="Times New Roman" w:eastAsia="仿宋_GB2312" w:cs="宋体"/>
          <w:kern w:val="0"/>
          <w:sz w:val="32"/>
          <w:szCs w:val="32"/>
          <w:highlight w:val="none"/>
          <w:lang w:val="en-US" w:eastAsia="zh-CN" w:bidi="ar"/>
        </w:rPr>
      </w:pPr>
      <w:r>
        <w:rPr>
          <w:rFonts w:hint="eastAsia" w:ascii="仿宋_GB2312" w:hAnsi="Times New Roman" w:eastAsia="仿宋_GB2312" w:cs="宋体"/>
          <w:kern w:val="0"/>
          <w:sz w:val="32"/>
          <w:szCs w:val="32"/>
          <w:highlight w:val="none"/>
          <w:lang w:val="en-US" w:eastAsia="zh-CN" w:bidi="ar"/>
        </w:rPr>
        <w:t>（五）按照相关技术规范及《报告表》要求严格落实分区防渗措施，并加强防渗设施的日常维护。按规范设置地下水监测井，建立完善的土壤和地下水监测制度，防止土壤及地下水污染。</w:t>
      </w:r>
    </w:p>
    <w:p w14:paraId="36FA009A">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hAnsi="Times New Roman" w:eastAsia="仿宋_GB2312" w:cs="宋体"/>
          <w:kern w:val="0"/>
          <w:sz w:val="32"/>
          <w:szCs w:val="32"/>
          <w:highlight w:val="none"/>
          <w:lang w:val="en-US" w:eastAsia="zh-CN" w:bidi="ar"/>
        </w:rPr>
      </w:pPr>
      <w:r>
        <w:rPr>
          <w:rFonts w:hint="eastAsia" w:ascii="仿宋_GB2312" w:hAnsi="Times New Roman" w:eastAsia="仿宋_GB2312" w:cs="宋体"/>
          <w:kern w:val="0"/>
          <w:sz w:val="32"/>
          <w:szCs w:val="32"/>
          <w:highlight w:val="none"/>
          <w:lang w:val="en-US" w:eastAsia="zh-CN" w:bidi="ar"/>
        </w:rPr>
        <w:t>（六）加强项目环境安全管理，强化危险废物运输和贮存环境风险防范和应急措施。项目应配套足够容积的环境事故应急池，并配备完善的事故废水拦截、导流、收集设施，事故废水应作为危险废物委托有资质单位转运处理。你司应及时编制企业突发环境事件应急预案并报长乐生态环境局备案，并与园区、地方政府建立应急联动机制，定期开展环境应急演练，有效防范和应对环境风险。</w:t>
      </w:r>
    </w:p>
    <w:p w14:paraId="23C5E0CC">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hAnsi="Times New Roman" w:eastAsia="仿宋_GB2312" w:cs="宋体"/>
          <w:kern w:val="0"/>
          <w:sz w:val="32"/>
          <w:szCs w:val="32"/>
          <w:highlight w:val="none"/>
          <w:lang w:val="en-US" w:eastAsia="zh-CN" w:bidi="ar"/>
        </w:rPr>
      </w:pPr>
      <w:r>
        <w:rPr>
          <w:rFonts w:hint="eastAsia" w:ascii="仿宋_GB2312" w:hAnsi="Times New Roman" w:eastAsia="仿宋_GB2312" w:cs="宋体"/>
          <w:kern w:val="0"/>
          <w:sz w:val="32"/>
          <w:szCs w:val="32"/>
          <w:highlight w:val="none"/>
          <w:lang w:val="en-US" w:eastAsia="zh-CN" w:bidi="ar"/>
        </w:rPr>
        <w:t>三、项目投产后新增VOCs（以非甲烷总烃计）排放总量</w:t>
      </w:r>
      <w:r>
        <w:rPr>
          <w:rFonts w:hint="eastAsia" w:ascii="仿宋_GB2312" w:hAnsi="仿宋_GB2312" w:eastAsia="仿宋_GB2312" w:cs="仿宋_GB2312"/>
          <w:b w:val="0"/>
          <w:kern w:val="2"/>
          <w:sz w:val="24"/>
          <w:szCs w:val="24"/>
          <w:highlight w:val="none"/>
          <w:lang w:val="en-US" w:eastAsia="zh-CN" w:bidi="ar-SA"/>
        </w:rPr>
        <w:t>≤</w:t>
      </w:r>
      <w:r>
        <w:rPr>
          <w:rFonts w:hint="eastAsia" w:ascii="仿宋_GB2312" w:hAnsi="Times New Roman" w:eastAsia="仿宋_GB2312" w:cs="宋体"/>
          <w:kern w:val="0"/>
          <w:sz w:val="32"/>
          <w:szCs w:val="32"/>
          <w:highlight w:val="none"/>
          <w:lang w:val="en-US" w:eastAsia="zh-CN" w:bidi="ar"/>
        </w:rPr>
        <w:t>0.618吨/年，项目投产前应按规定通过总量调剂获得VOCs的排放指标。</w:t>
      </w:r>
    </w:p>
    <w:p w14:paraId="6044B2B5">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hAnsi="Times New Roman" w:eastAsia="仿宋_GB2312" w:cs="宋体"/>
          <w:kern w:val="0"/>
          <w:sz w:val="32"/>
          <w:szCs w:val="32"/>
          <w:highlight w:val="none"/>
          <w:lang w:val="en-US" w:eastAsia="zh-CN" w:bidi="ar"/>
        </w:rPr>
      </w:pPr>
      <w:r>
        <w:rPr>
          <w:rFonts w:hint="eastAsia" w:ascii="仿宋_GB2312" w:hAnsi="Times New Roman" w:eastAsia="仿宋_GB2312" w:cs="宋体"/>
          <w:kern w:val="0"/>
          <w:sz w:val="32"/>
          <w:szCs w:val="32"/>
          <w:highlight w:val="none"/>
          <w:lang w:val="en-US" w:eastAsia="zh-CN" w:bidi="ar"/>
        </w:rPr>
        <w:t>四、《报告表》批准后，如建设项目的性质、规模、地点、采用的生产工艺或者防治污染、防止生态破坏的措施发生重大变动的，应当依法重新报批项目环评。《报告表》自批准之日起满5年，项目方开工建设的，其环评文件应当依法报我局重新审核。</w:t>
      </w:r>
    </w:p>
    <w:p w14:paraId="3B78885B">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hAnsi="Times New Roman" w:eastAsia="仿宋_GB2312" w:cs="宋体"/>
          <w:kern w:val="0"/>
          <w:sz w:val="32"/>
          <w:szCs w:val="32"/>
          <w:highlight w:val="none"/>
          <w:lang w:val="en-US" w:eastAsia="zh-CN" w:bidi="ar"/>
        </w:rPr>
      </w:pPr>
      <w:r>
        <w:rPr>
          <w:rFonts w:hint="eastAsia" w:ascii="仿宋_GB2312" w:hAnsi="Times New Roman" w:eastAsia="仿宋_GB2312" w:cs="宋体"/>
          <w:kern w:val="0"/>
          <w:sz w:val="32"/>
          <w:szCs w:val="32"/>
          <w:highlight w:val="none"/>
          <w:lang w:val="en-US" w:eastAsia="zh-CN" w:bidi="ar"/>
        </w:rPr>
        <w:t>五、项目建设应严格执行环境保护“三同时”制度，投入生产并产生实际排污行为之前，你司应认真梳理并确认各项环境保护措施落实，依法申领排污许可证并按证排污。项目投入生产后，应依法组织开展竣工环保自主验收。</w:t>
      </w:r>
    </w:p>
    <w:p w14:paraId="75214529">
      <w:pPr>
        <w:keepNext w:val="0"/>
        <w:keepLines w:val="0"/>
        <w:widowControl w:val="0"/>
        <w:suppressLineNumbers w:val="0"/>
        <w:snapToGrid w:val="0"/>
        <w:spacing w:before="0" w:beforeAutospacing="0" w:after="0" w:afterAutospacing="0" w:line="600" w:lineRule="exact"/>
        <w:ind w:left="0" w:right="0" w:firstLine="624" w:firstLineChars="195"/>
        <w:jc w:val="both"/>
        <w:rPr>
          <w:rFonts w:hint="eastAsia" w:ascii="仿宋_GB2312" w:eastAsia="仿宋_GB2312" w:cs="宋体"/>
          <w:kern w:val="0"/>
          <w:sz w:val="32"/>
          <w:szCs w:val="32"/>
          <w:highlight w:val="none"/>
          <w:lang w:val="en-US"/>
        </w:rPr>
      </w:pPr>
      <w:r>
        <w:rPr>
          <w:rFonts w:hint="eastAsia" w:ascii="仿宋_GB2312" w:hAnsi="Times New Roman" w:eastAsia="仿宋_GB2312" w:cs="宋体"/>
          <w:kern w:val="0"/>
          <w:sz w:val="32"/>
          <w:szCs w:val="32"/>
          <w:highlight w:val="none"/>
          <w:lang w:val="en-US" w:eastAsia="zh-CN" w:bidi="ar"/>
        </w:rPr>
        <w:t>六、我局委托福州市生态环境保护综合执法支队开展该项目环保“三同时”监督检查，由福州市长乐生态环境局负责该项目日常环保监督管理工作。</w:t>
      </w:r>
    </w:p>
    <w:p w14:paraId="436C40E9">
      <w:pPr>
        <w:keepNext w:val="0"/>
        <w:keepLines w:val="0"/>
        <w:widowControl w:val="0"/>
        <w:suppressLineNumbers w:val="0"/>
        <w:snapToGrid w:val="0"/>
        <w:spacing w:before="0" w:beforeAutospacing="0" w:after="0" w:afterAutospacing="0" w:line="600" w:lineRule="exact"/>
        <w:ind w:left="0" w:right="0" w:firstLine="640" w:firstLineChars="200"/>
        <w:jc w:val="both"/>
        <w:rPr>
          <w:rFonts w:hint="eastAsia" w:ascii="仿宋_GB2312" w:eastAsia="仿宋_GB2312" w:cs="宋体"/>
          <w:kern w:val="0"/>
          <w:sz w:val="32"/>
          <w:szCs w:val="32"/>
          <w:highlight w:val="none"/>
          <w:lang w:val="en-US"/>
        </w:rPr>
      </w:pPr>
    </w:p>
    <w:p w14:paraId="3FB809EE">
      <w:pPr>
        <w:pStyle w:val="5"/>
        <w:widowControl/>
        <w:snapToGrid w:val="0"/>
        <w:spacing w:line="600" w:lineRule="exact"/>
        <w:ind w:right="1170" w:rightChars="557"/>
        <w:jc w:val="right"/>
        <w:rPr>
          <w:rFonts w:hint="eastAsia" w:ascii="仿宋_GB2312" w:eastAsia="仿宋_GB2312" w:cs="仿宋_GB2312"/>
          <w:highlight w:val="none"/>
          <w:lang w:val="en-US"/>
        </w:rPr>
      </w:pPr>
      <w:r>
        <w:rPr>
          <w:rFonts w:hint="eastAsia" w:ascii="仿宋_GB2312" w:eastAsia="仿宋_GB2312" w:cs="仿宋_GB2312"/>
          <w:highlight w:val="none"/>
          <w:lang w:eastAsia="zh-CN"/>
        </w:rPr>
        <w:t>福州市生态环境局</w:t>
      </w:r>
    </w:p>
    <w:p w14:paraId="24EFB4EC">
      <w:pPr>
        <w:pStyle w:val="5"/>
        <w:widowControl/>
        <w:snapToGrid w:val="0"/>
        <w:spacing w:line="600" w:lineRule="exact"/>
        <w:ind w:right="1170" w:rightChars="557"/>
        <w:jc w:val="right"/>
        <w:rPr>
          <w:rFonts w:hint="eastAsia" w:ascii="仿宋_GB2312" w:eastAsia="仿宋_GB2312" w:cs="仿宋_GB2312"/>
          <w:highlight w:val="none"/>
          <w:lang w:eastAsia="zh-CN"/>
        </w:rPr>
      </w:pPr>
      <w:r>
        <w:rPr>
          <w:rFonts w:hint="eastAsia" w:ascii="仿宋_GB2312" w:eastAsia="仿宋_GB2312" w:cs="仿宋_GB2312"/>
          <w:highlight w:val="none"/>
          <w:lang w:val="en-US"/>
        </w:rPr>
        <w:t>20</w:t>
      </w:r>
      <w:r>
        <w:rPr>
          <w:rFonts w:hint="eastAsia" w:ascii="仿宋_GB2312" w:eastAsia="仿宋_GB2312" w:cs="仿宋_GB2312"/>
          <w:highlight w:val="none"/>
          <w:lang w:val="en-US" w:eastAsia="zh-CN"/>
        </w:rPr>
        <w:t>25</w:t>
      </w:r>
      <w:r>
        <w:rPr>
          <w:rFonts w:hint="eastAsia" w:ascii="仿宋_GB2312" w:eastAsia="仿宋_GB2312" w:cs="仿宋_GB2312"/>
          <w:highlight w:val="none"/>
          <w:lang w:eastAsia="zh-CN"/>
        </w:rPr>
        <w:t>年</w:t>
      </w:r>
      <w:r>
        <w:rPr>
          <w:rFonts w:hint="eastAsia" w:ascii="仿宋_GB2312" w:eastAsia="仿宋_GB2312" w:cs="仿宋_GB2312"/>
          <w:highlight w:val="none"/>
          <w:lang w:val="en-US" w:eastAsia="zh-CN"/>
        </w:rPr>
        <w:t>3</w:t>
      </w:r>
      <w:r>
        <w:rPr>
          <w:rFonts w:hint="eastAsia" w:ascii="仿宋_GB2312" w:eastAsia="仿宋_GB2312" w:cs="仿宋_GB2312"/>
          <w:highlight w:val="none"/>
          <w:lang w:eastAsia="zh-CN"/>
        </w:rPr>
        <w:t>月</w:t>
      </w:r>
      <w:r>
        <w:rPr>
          <w:rFonts w:hint="eastAsia" w:ascii="仿宋_GB2312" w:eastAsia="仿宋_GB2312" w:cs="仿宋_GB2312"/>
          <w:highlight w:val="none"/>
          <w:lang w:val="en-US" w:eastAsia="zh-CN"/>
        </w:rPr>
        <w:t>28</w:t>
      </w:r>
      <w:r>
        <w:rPr>
          <w:rFonts w:hint="eastAsia" w:ascii="仿宋_GB2312" w:eastAsia="仿宋_GB2312" w:cs="仿宋_GB2312"/>
          <w:highlight w:val="none"/>
          <w:lang w:eastAsia="zh-CN"/>
        </w:rPr>
        <w:t>日</w:t>
      </w:r>
    </w:p>
    <w:p w14:paraId="2B819FF2">
      <w:pPr>
        <w:rPr>
          <w:rFonts w:hint="eastAsia"/>
          <w:highlight w:val="none"/>
          <w:lang w:val="en-US" w:eastAsia="zh-CN"/>
        </w:rPr>
      </w:pPr>
    </w:p>
    <w:p w14:paraId="57230A39">
      <w:pPr>
        <w:keepNext w:val="0"/>
        <w:keepLines w:val="0"/>
        <w:widowControl w:val="0"/>
        <w:suppressLineNumbers w:val="0"/>
        <w:snapToGrid w:val="0"/>
        <w:spacing w:before="0" w:beforeAutospacing="0" w:after="0" w:afterAutospacing="0"/>
        <w:ind w:left="0" w:right="0"/>
        <w:jc w:val="both"/>
        <w:rPr>
          <w:rFonts w:hint="eastAsia" w:ascii="仿宋_GB2312" w:eastAsia="仿宋_GB2312" w:cs="仿宋_GB2312"/>
          <w:highlight w:val="none"/>
          <w:lang w:val="en-US"/>
        </w:rPr>
      </w:pPr>
    </w:p>
    <w:tbl>
      <w:tblPr>
        <w:tblStyle w:val="9"/>
        <w:tblW w:w="871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155"/>
        <w:gridCol w:w="3885"/>
        <w:gridCol w:w="3675"/>
      </w:tblGrid>
      <w:tr w14:paraId="40802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155" w:type="dxa"/>
            <w:tcBorders>
              <w:top w:val="single" w:color="auto" w:sz="4" w:space="0"/>
              <w:left w:val="nil"/>
              <w:bottom w:val="single" w:color="auto" w:sz="4" w:space="0"/>
              <w:right w:val="nil"/>
            </w:tcBorders>
            <w:shd w:val="clear" w:color="auto" w:fill="auto"/>
            <w:vAlign w:val="center"/>
          </w:tcPr>
          <w:p w14:paraId="2487DEF6">
            <w:pPr>
              <w:keepNext w:val="0"/>
              <w:keepLines w:val="0"/>
              <w:widowControl w:val="0"/>
              <w:suppressLineNumbers w:val="0"/>
              <w:tabs>
                <w:tab w:val="left" w:pos="3885"/>
              </w:tabs>
              <w:spacing w:before="0" w:beforeAutospacing="0" w:after="0" w:afterAutospacing="0"/>
              <w:ind w:left="0" w:right="0" w:firstLine="179" w:firstLineChars="64"/>
              <w:jc w:val="both"/>
              <w:rPr>
                <w:rFonts w:hint="eastAsia" w:ascii="仿宋_GB2312" w:eastAsia="仿宋_GB2312" w:cs="仿宋_GB2312"/>
                <w:sz w:val="28"/>
                <w:szCs w:val="28"/>
                <w:highlight w:val="none"/>
                <w:lang w:val="en-US"/>
              </w:rPr>
            </w:pPr>
            <w:r>
              <w:rPr>
                <w:rFonts w:hint="eastAsia" w:ascii="仿宋_GB2312" w:hAnsi="Times New Roman" w:eastAsia="仿宋_GB2312" w:cs="仿宋_GB2312"/>
                <w:kern w:val="2"/>
                <w:sz w:val="28"/>
                <w:szCs w:val="28"/>
                <w:highlight w:val="none"/>
                <w:lang w:val="en-US" w:eastAsia="zh-CN" w:bidi="ar"/>
              </w:rPr>
              <w:t>抄送：</w:t>
            </w:r>
          </w:p>
        </w:tc>
        <w:tc>
          <w:tcPr>
            <w:tcW w:w="7560" w:type="dxa"/>
            <w:gridSpan w:val="2"/>
            <w:tcBorders>
              <w:top w:val="single" w:color="auto" w:sz="4" w:space="0"/>
              <w:left w:val="nil"/>
              <w:bottom w:val="single" w:color="auto" w:sz="4" w:space="0"/>
              <w:right w:val="nil"/>
            </w:tcBorders>
            <w:shd w:val="clear" w:color="auto" w:fill="auto"/>
            <w:vAlign w:val="center"/>
          </w:tcPr>
          <w:p w14:paraId="7A34B38F">
            <w:pPr>
              <w:keepNext w:val="0"/>
              <w:keepLines w:val="0"/>
              <w:widowControl w:val="0"/>
              <w:suppressLineNumbers w:val="0"/>
              <w:tabs>
                <w:tab w:val="left" w:pos="3885"/>
              </w:tabs>
              <w:spacing w:before="0" w:beforeAutospacing="0" w:after="0" w:afterAutospacing="0"/>
              <w:ind w:left="0" w:right="0"/>
              <w:jc w:val="both"/>
              <w:rPr>
                <w:rFonts w:hint="eastAsia" w:ascii="仿宋_GB2312" w:eastAsia="仿宋_GB2312" w:cs="仿宋_GB2312"/>
                <w:sz w:val="28"/>
                <w:szCs w:val="28"/>
                <w:highlight w:val="none"/>
                <w:lang w:val="en-US"/>
              </w:rPr>
            </w:pPr>
            <w:r>
              <w:rPr>
                <w:rFonts w:hint="eastAsia" w:ascii="仿宋_GB2312" w:hAnsi="Times New Roman" w:eastAsia="仿宋_GB2312" w:cs="仿宋_GB2312"/>
                <w:kern w:val="2"/>
                <w:sz w:val="28"/>
                <w:szCs w:val="20"/>
                <w:highlight w:val="none"/>
                <w:lang w:val="en-US" w:eastAsia="zh-CN" w:bidi="ar"/>
              </w:rPr>
              <w:t>局土处、大气处，福州市生态环境保护综合执法支队，福州市长乐生态环境局，福州临空经济区管理委员会，中检集团福建创信环保科技有限公司。</w:t>
            </w:r>
          </w:p>
        </w:tc>
      </w:tr>
      <w:tr w14:paraId="33459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01" w:hRule="atLeast"/>
        </w:trPr>
        <w:tc>
          <w:tcPr>
            <w:tcW w:w="5040" w:type="dxa"/>
            <w:gridSpan w:val="2"/>
            <w:tcBorders>
              <w:top w:val="single" w:color="auto" w:sz="4" w:space="0"/>
              <w:left w:val="nil"/>
              <w:bottom w:val="single" w:color="auto" w:sz="4" w:space="0"/>
              <w:right w:val="nil"/>
            </w:tcBorders>
            <w:shd w:val="clear" w:color="auto" w:fill="auto"/>
            <w:vAlign w:val="center"/>
          </w:tcPr>
          <w:p w14:paraId="388F6E0A">
            <w:pPr>
              <w:keepNext w:val="0"/>
              <w:keepLines w:val="0"/>
              <w:widowControl w:val="0"/>
              <w:suppressLineNumbers w:val="0"/>
              <w:tabs>
                <w:tab w:val="left" w:pos="3885"/>
              </w:tabs>
              <w:spacing w:before="0" w:beforeAutospacing="0" w:after="0" w:afterAutospacing="0"/>
              <w:ind w:left="0" w:right="0" w:firstLine="179" w:firstLineChars="64"/>
              <w:jc w:val="both"/>
              <w:rPr>
                <w:rFonts w:eastAsia="仿宋_GB2312"/>
                <w:sz w:val="28"/>
                <w:szCs w:val="28"/>
                <w:highlight w:val="none"/>
                <w:lang w:val="en-US"/>
              </w:rPr>
            </w:pPr>
            <w:r>
              <w:rPr>
                <w:rFonts w:hint="eastAsia" w:ascii="仿宋_GB2312" w:hAnsi="Times New Roman" w:eastAsia="仿宋_GB2312" w:cs="仿宋_GB2312"/>
                <w:kern w:val="2"/>
                <w:sz w:val="28"/>
                <w:szCs w:val="28"/>
                <w:highlight w:val="none"/>
                <w:lang w:val="en-US" w:eastAsia="zh-CN" w:bidi="ar"/>
              </w:rPr>
              <w:t>福州市生态环境局</w:t>
            </w:r>
          </w:p>
        </w:tc>
        <w:tc>
          <w:tcPr>
            <w:tcW w:w="3675" w:type="dxa"/>
            <w:tcBorders>
              <w:top w:val="single" w:color="auto" w:sz="4" w:space="0"/>
              <w:left w:val="nil"/>
              <w:bottom w:val="single" w:color="auto" w:sz="4" w:space="0"/>
              <w:right w:val="nil"/>
            </w:tcBorders>
            <w:shd w:val="clear" w:color="auto" w:fill="auto"/>
            <w:vAlign w:val="center"/>
          </w:tcPr>
          <w:p w14:paraId="524964C2">
            <w:pPr>
              <w:keepNext w:val="0"/>
              <w:keepLines w:val="0"/>
              <w:widowControl w:val="0"/>
              <w:suppressLineNumbers w:val="0"/>
              <w:tabs>
                <w:tab w:val="left" w:pos="3882"/>
                <w:tab w:val="left" w:pos="3987"/>
              </w:tabs>
              <w:spacing w:before="0" w:beforeAutospacing="0" w:after="0" w:afterAutospacing="0"/>
              <w:ind w:left="0" w:right="311" w:rightChars="148"/>
              <w:jc w:val="right"/>
              <w:rPr>
                <w:rFonts w:eastAsia="仿宋_GB2312"/>
                <w:sz w:val="28"/>
                <w:szCs w:val="28"/>
                <w:highlight w:val="none"/>
                <w:lang w:val="en-US"/>
              </w:rPr>
            </w:pPr>
            <w:r>
              <w:rPr>
                <w:rFonts w:hint="eastAsia" w:ascii="仿宋_GB2312" w:hAnsi="Times New Roman" w:eastAsia="仿宋_GB2312" w:cs="仿宋_GB2312"/>
                <w:kern w:val="2"/>
                <w:sz w:val="28"/>
                <w:szCs w:val="28"/>
                <w:highlight w:val="none"/>
                <w:lang w:val="en-US" w:eastAsia="zh-CN" w:bidi="ar"/>
              </w:rPr>
              <w:t>2025年3月28日印发</w:t>
            </w:r>
          </w:p>
        </w:tc>
      </w:tr>
    </w:tbl>
    <w:p w14:paraId="66BE84EB">
      <w:pPr>
        <w:rPr>
          <w:highlight w:val="none"/>
        </w:rPr>
      </w:pPr>
    </w:p>
    <w:sectPr>
      <w:footerReference r:id="rId3" w:type="default"/>
      <w:pgSz w:w="11906" w:h="16838"/>
      <w:pgMar w:top="1701" w:right="1587" w:bottom="1417" w:left="1587" w:header="851" w:footer="992" w:gutter="0"/>
      <w:pgNumType w:fmt="decimal" w:start="1"/>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script"/>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长城小标宋体">
    <w:altName w:val="宋体"/>
    <w:panose1 w:val="02010609010101010101"/>
    <w:charset w:val="86"/>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14597">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F08037">
                          <w:pPr>
                            <w:pStyle w:val="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2F08037">
                    <w:pPr>
                      <w:pStyle w:val="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wMmU4YmM1MTQ3ZDUyOWQxMDA5OGU4MmQ5YTNiMDAifQ=="/>
  </w:docVars>
  <w:rsids>
    <w:rsidRoot w:val="2A7F762B"/>
    <w:rsid w:val="01DD6FC1"/>
    <w:rsid w:val="0219705A"/>
    <w:rsid w:val="03CC5678"/>
    <w:rsid w:val="06486622"/>
    <w:rsid w:val="06CF3FDF"/>
    <w:rsid w:val="076B63F8"/>
    <w:rsid w:val="07B76A03"/>
    <w:rsid w:val="08877123"/>
    <w:rsid w:val="097912D2"/>
    <w:rsid w:val="0A0259D4"/>
    <w:rsid w:val="0A537496"/>
    <w:rsid w:val="0A7B2C42"/>
    <w:rsid w:val="0EBC0E2F"/>
    <w:rsid w:val="11B15CE9"/>
    <w:rsid w:val="123E696C"/>
    <w:rsid w:val="12D0457D"/>
    <w:rsid w:val="1339568F"/>
    <w:rsid w:val="13941148"/>
    <w:rsid w:val="155C0219"/>
    <w:rsid w:val="15B63938"/>
    <w:rsid w:val="16C049E6"/>
    <w:rsid w:val="17376763"/>
    <w:rsid w:val="17C02571"/>
    <w:rsid w:val="185C0C0F"/>
    <w:rsid w:val="1A07082D"/>
    <w:rsid w:val="1A2D6D57"/>
    <w:rsid w:val="20835F2C"/>
    <w:rsid w:val="213F3844"/>
    <w:rsid w:val="219278A5"/>
    <w:rsid w:val="23D1267C"/>
    <w:rsid w:val="264F7B2D"/>
    <w:rsid w:val="26F17F87"/>
    <w:rsid w:val="26FA4A88"/>
    <w:rsid w:val="28A86FC8"/>
    <w:rsid w:val="2A7F762B"/>
    <w:rsid w:val="2CAD0908"/>
    <w:rsid w:val="2E214D74"/>
    <w:rsid w:val="2E831059"/>
    <w:rsid w:val="2F652F3C"/>
    <w:rsid w:val="31DF7D29"/>
    <w:rsid w:val="32432891"/>
    <w:rsid w:val="344B15E7"/>
    <w:rsid w:val="34565CE1"/>
    <w:rsid w:val="34B92A27"/>
    <w:rsid w:val="35797F89"/>
    <w:rsid w:val="379F27DC"/>
    <w:rsid w:val="396A64FB"/>
    <w:rsid w:val="3B7B6102"/>
    <w:rsid w:val="3C461732"/>
    <w:rsid w:val="3DB945F5"/>
    <w:rsid w:val="402C102B"/>
    <w:rsid w:val="407707ED"/>
    <w:rsid w:val="438B4B5B"/>
    <w:rsid w:val="43CA10AF"/>
    <w:rsid w:val="45314B84"/>
    <w:rsid w:val="47C411B6"/>
    <w:rsid w:val="49203E9F"/>
    <w:rsid w:val="49641AB4"/>
    <w:rsid w:val="4A69668E"/>
    <w:rsid w:val="4A810DC1"/>
    <w:rsid w:val="4B456184"/>
    <w:rsid w:val="4B997BD4"/>
    <w:rsid w:val="4BC03622"/>
    <w:rsid w:val="4CD339FE"/>
    <w:rsid w:val="4DB67CDD"/>
    <w:rsid w:val="4E576091"/>
    <w:rsid w:val="5328504E"/>
    <w:rsid w:val="545C3B2A"/>
    <w:rsid w:val="56D6723A"/>
    <w:rsid w:val="56DD30D8"/>
    <w:rsid w:val="56FA33C7"/>
    <w:rsid w:val="5773682D"/>
    <w:rsid w:val="59790483"/>
    <w:rsid w:val="5AB30E80"/>
    <w:rsid w:val="5D8466D6"/>
    <w:rsid w:val="5E49718B"/>
    <w:rsid w:val="5FE31CDE"/>
    <w:rsid w:val="610D1793"/>
    <w:rsid w:val="61464082"/>
    <w:rsid w:val="61AC3705"/>
    <w:rsid w:val="61BD2347"/>
    <w:rsid w:val="674F436D"/>
    <w:rsid w:val="676676DF"/>
    <w:rsid w:val="69AA484A"/>
    <w:rsid w:val="6C2A2F12"/>
    <w:rsid w:val="6C524909"/>
    <w:rsid w:val="6CA5599E"/>
    <w:rsid w:val="6D0A06B5"/>
    <w:rsid w:val="6D8945FB"/>
    <w:rsid w:val="6E6E2E44"/>
    <w:rsid w:val="6F460731"/>
    <w:rsid w:val="731146F1"/>
    <w:rsid w:val="749C56FE"/>
    <w:rsid w:val="75053496"/>
    <w:rsid w:val="75F77103"/>
    <w:rsid w:val="76CA152F"/>
    <w:rsid w:val="783B4C00"/>
    <w:rsid w:val="7C145F64"/>
    <w:rsid w:val="7CC80452"/>
    <w:rsid w:val="7CDA4005"/>
    <w:rsid w:val="7FA07AD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Indent"/>
    <w:basedOn w:val="1"/>
    <w:unhideWhenUsed/>
    <w:qFormat/>
    <w:uiPriority w:val="0"/>
    <w:pPr>
      <w:spacing w:after="120"/>
      <w:ind w:left="420" w:leftChars="200"/>
    </w:pPr>
  </w:style>
  <w:style w:type="paragraph" w:styleId="5">
    <w:name w:val="Date"/>
    <w:basedOn w:val="1"/>
    <w:next w:val="1"/>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eastAsia="楷体_GB2312" w:cs="Times New Roman"/>
      <w:kern w:val="2"/>
      <w:sz w:val="32"/>
      <w:szCs w:val="20"/>
      <w:lang w:val="en-US" w:eastAsia="zh-CN" w:bidi="ar"/>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Body Text First Indent 2"/>
    <w:basedOn w:val="4"/>
    <w:qFormat/>
    <w:uiPriority w:val="0"/>
    <w:pPr>
      <w:spacing w:after="0" w:line="420" w:lineRule="exact"/>
      <w:ind w:left="0" w:leftChars="0" w:firstLine="420"/>
    </w:pPr>
    <w:rPr>
      <w:rFonts w:ascii="仿宋_GB2312" w:eastAsia="Times New Roman"/>
      <w:sz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annotation reference"/>
    <w:basedOn w:val="11"/>
    <w:qFormat/>
    <w:uiPriority w:val="0"/>
    <w:rPr>
      <w:sz w:val="21"/>
      <w:szCs w:val="21"/>
    </w:rPr>
  </w:style>
  <w:style w:type="character" w:customStyle="1" w:styleId="13">
    <w:name w:val="5文章(治) Char"/>
    <w:basedOn w:val="11"/>
    <w:qFormat/>
    <w:uiPriority w:val="0"/>
    <w:rPr>
      <w:rFonts w:hint="eastAsia" w:ascii="楷体_GB2312" w:eastAsia="楷体_GB2312" w:cs="楷体_GB2312"/>
      <w:kern w:val="2"/>
      <w:sz w:val="28"/>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1810</Words>
  <Characters>1924</Characters>
  <Lines>0</Lines>
  <Paragraphs>0</Paragraphs>
  <TotalTime>16</TotalTime>
  <ScaleCrop>false</ScaleCrop>
  <LinksUpToDate>false</LinksUpToDate>
  <CharactersWithSpaces>1924</CharactersWithSpaces>
  <Application>WPS Office_12.1.0.20783_F1E327BC-269C-435d-A152-05C5408002CA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2016-03-09T02:21:00Z</dcterms:created>
  <dc:creator>Yuri</dc:creator>
  <cp:lastModifiedBy>WPS_1557456268</cp:lastModifiedBy>
  <cp:lastPrinted>2025-03-28T02:56:00Z</cp:lastPrinted>
  <dcterms:modified xsi:type="dcterms:W3CDTF">2025-04-25T03:21:20Z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2052-12.1.0.20783</vt:lpwstr>
  </property>
  <property fmtid="{D5CDD505-2E9C-101B-9397-08002B2CF9AE}" pid="3" name="ICV">
    <vt:lpwstr>07A162A2473042D587B95B9EDB6B78DC_12</vt:lpwstr>
  </property>
  <property fmtid="{D5CDD505-2E9C-101B-9397-08002B2CF9AE}" pid="4" name="KSOTemplateDocerSaveRecord">
    <vt:lpwstr>eyJoZGlkIjoiODhjYzI4MWNhMDdmMWNjMjRiODQwYzVjNTFhOTNiMDQiLCJ1c2VySWQiOiI1NTAxMTU4MzMifQ==</vt:lpwstr>
  </property>
</Properties>
</file>