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9AE4B8">
      <w:pPr>
        <w:keepNext w:val="0"/>
        <w:keepLines w:val="0"/>
        <w:pageBreakBefore w:val="0"/>
        <w:widowControl w:val="0"/>
        <w:suppressLineNumbers w:val="0"/>
        <w:kinsoku/>
        <w:wordWrap w:val="0"/>
        <w:overflowPunct/>
        <w:topLinePunct w:val="0"/>
        <w:autoSpaceDE/>
        <w:autoSpaceDN/>
        <w:bidi w:val="0"/>
        <w:adjustRightInd/>
        <w:snapToGrid w:val="0"/>
        <w:spacing w:before="1400" w:beforeAutospacing="0" w:afterAutospacing="0" w:line="560" w:lineRule="exact"/>
        <w:ind w:left="0" w:leftChars="0" w:right="250" w:rightChars="119" w:firstLine="0" w:firstLineChars="0"/>
        <w:jc w:val="right"/>
        <w:textAlignment w:val="auto"/>
        <w:outlineLvl w:val="9"/>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榕环评〔2026〕49号</w:t>
      </w:r>
    </w:p>
    <w:p w14:paraId="67AC5E6B">
      <w:pPr>
        <w:pStyle w:val="8"/>
        <w:keepNext w:val="0"/>
        <w:keepLines w:val="0"/>
        <w:pageBreakBefore w:val="0"/>
        <w:kinsoku/>
        <w:wordWrap/>
        <w:overflowPunct/>
        <w:topLinePunct w:val="0"/>
        <w:autoSpaceDE/>
        <w:autoSpaceDN/>
        <w:bidi w:val="0"/>
        <w:adjustRightInd/>
        <w:spacing w:line="560" w:lineRule="exact"/>
        <w:textAlignment w:val="auto"/>
        <w:rPr>
          <w:rFonts w:hint="eastAsia"/>
          <w:lang w:val="en-US" w:eastAsia="zh-CN"/>
        </w:rPr>
      </w:pPr>
    </w:p>
    <w:p w14:paraId="7A1E91A4">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jc w:val="center"/>
        <w:textAlignment w:val="auto"/>
        <w:rPr>
          <w:rFonts w:hint="eastAsia" w:ascii="方正小标宋_GBK" w:hAnsi="方正小标宋_GBK" w:eastAsia="方正小标宋_GBK" w:cs="方正小标宋_GBK"/>
          <w:b/>
          <w:color w:val="000000"/>
          <w:sz w:val="44"/>
          <w:szCs w:val="44"/>
          <w:lang w:val="en-US" w:eastAsia="zh-CN"/>
        </w:rPr>
      </w:pPr>
      <w:r>
        <w:rPr>
          <w:rFonts w:hint="eastAsia" w:ascii="方正小标宋_GBK" w:hAnsi="方正小标宋_GBK" w:eastAsia="方正小标宋_GBK" w:cs="方正小标宋_GBK"/>
          <w:b/>
          <w:color w:val="000000"/>
          <w:sz w:val="44"/>
          <w:szCs w:val="44"/>
          <w:lang w:val="en-US" w:eastAsia="zh-CN"/>
        </w:rPr>
        <w:t>福州市生态环境局</w:t>
      </w:r>
    </w:p>
    <w:p w14:paraId="4DA92C33">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jc w:val="center"/>
        <w:textAlignment w:val="auto"/>
        <w:rPr>
          <w:rFonts w:hint="eastAsia" w:ascii="长城小标宋体" w:hAnsi="长城小标宋体" w:eastAsia="长城小标宋体" w:cs="长城小标宋体"/>
          <w:sz w:val="40"/>
          <w:szCs w:val="40"/>
          <w:highlight w:val="none"/>
          <w:lang w:val="en-US"/>
        </w:rPr>
      </w:pPr>
      <w:r>
        <w:rPr>
          <w:rFonts w:hint="eastAsia" w:ascii="方正小标宋_GBK" w:hAnsi="方正小标宋_GBK" w:eastAsia="方正小标宋_GBK" w:cs="方正小标宋_GBK"/>
          <w:b/>
          <w:color w:val="000000"/>
          <w:sz w:val="44"/>
          <w:szCs w:val="44"/>
          <w:lang w:val="en-US" w:eastAsia="zh-CN"/>
        </w:rPr>
        <w:t>关于福建吴航不锈钢制品有限公司烘烤隧道窑项目环境影响报告表的审批意见</w:t>
      </w:r>
    </w:p>
    <w:p w14:paraId="7DC124D2">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_GB2312" w:hAnsi="Times New Roman" w:eastAsia="仿宋_GB2312" w:cs="仿宋_GB2312"/>
          <w:kern w:val="2"/>
          <w:sz w:val="32"/>
          <w:szCs w:val="32"/>
          <w:highlight w:val="none"/>
          <w:lang w:val="en-US" w:eastAsia="zh-CN" w:bidi="ar"/>
        </w:rPr>
      </w:pPr>
    </w:p>
    <w:p w14:paraId="0815194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kern w:val="2"/>
          <w:sz w:val="32"/>
          <w:szCs w:val="32"/>
          <w:highlight w:val="none"/>
          <w:lang w:val="en-US" w:eastAsia="zh-CN" w:bidi="ar"/>
        </w:rPr>
        <w:t>福建吴航不锈钢制品有限公司：</w:t>
      </w:r>
    </w:p>
    <w:p w14:paraId="1124EE1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624" w:firstLineChars="195"/>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你司报送的《福建吴航不锈钢制品有限公司烘烤隧道窑项目环境影响报告表》(以下简称《报告表》)收悉。根据《环境影响评价法》第二十二条等规定，并征求福州市长乐生态环境局意见，现提出审批意见如下：</w:t>
      </w:r>
    </w:p>
    <w:p w14:paraId="7C3FDC78">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
        </w:rPr>
        <w:t>福建吴航不锈钢制品有限公司烘烤隧道窑项目</w:t>
      </w:r>
      <w:r>
        <w:rPr>
          <w:rFonts w:hint="eastAsia" w:ascii="仿宋_GB2312" w:hAnsi="仿宋_GB2312" w:eastAsia="仿宋_GB2312" w:cs="仿宋_GB2312"/>
          <w:kern w:val="0"/>
          <w:sz w:val="32"/>
          <w:szCs w:val="32"/>
          <w:highlight w:val="none"/>
          <w:lang w:val="en-US" w:eastAsia="zh-CN" w:bidi="ar"/>
        </w:rPr>
        <w:t>位于福建省福州市长乐区营前街道工商路110号，主要建设内容：在现有的炼钢车间内，</w:t>
      </w:r>
      <w:r>
        <w:rPr>
          <w:rFonts w:hint="eastAsia" w:ascii="仿宋_GB2312" w:hAnsi="仿宋_GB2312" w:eastAsia="仿宋_GB2312" w:cs="仿宋_GB2312"/>
          <w:color w:val="auto"/>
          <w:kern w:val="0"/>
          <w:sz w:val="32"/>
          <w:szCs w:val="32"/>
          <w:highlight w:val="none"/>
          <w:lang w:val="en-US" w:eastAsia="zh-CN" w:bidi="ar"/>
        </w:rPr>
        <w:t>改造</w:t>
      </w:r>
      <w:r>
        <w:rPr>
          <w:rFonts w:hint="eastAsia" w:ascii="仿宋_GB2312" w:hAnsi="仿宋_GB2312" w:eastAsia="仿宋_GB2312" w:cs="仿宋_GB2312"/>
          <w:kern w:val="0"/>
          <w:sz w:val="32"/>
          <w:szCs w:val="32"/>
          <w:highlight w:val="none"/>
          <w:lang w:val="en-US" w:eastAsia="zh-CN" w:bidi="ar"/>
        </w:rPr>
        <w:t>建设一条烘烤隧道窑，用于烘烤废钢，将废钢中夹杂的废漆、塑料、海绵等非金属夹杂物燃烧去除，以降低入炉废钢的碳含量，提高产品质量。建设内容包含窑车、窑内轨道及相应的烟气除尘设备和电器设备。项目建设不新增钢铁产能。根据《报告表》评价结论，该项目</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符合生态环境保护相关法律法规和政策，符合生态环境分区管控、</w:t>
      </w:r>
      <w:r>
        <w:rPr>
          <w:rFonts w:hint="eastAsia" w:ascii="仿宋_GB2312" w:hAnsi="仿宋_GB2312" w:eastAsia="仿宋_GB2312" w:cs="仿宋_GB2312"/>
          <w:color w:val="auto"/>
          <w:kern w:val="2"/>
          <w:sz w:val="32"/>
          <w:szCs w:val="32"/>
          <w:highlight w:val="none"/>
          <w:lang w:val="en-US" w:eastAsia="zh-CN" w:bidi="ar"/>
        </w:rPr>
        <w:t>《福州市钢铁产业转型升级布局规划（2020-2025年）》及其规划环评要求</w:t>
      </w:r>
      <w:r>
        <w:rPr>
          <w:rFonts w:hint="eastAsia" w:ascii="仿宋_GB2312" w:hAnsi="仿宋_GB2312" w:eastAsia="仿宋_GB2312" w:cs="仿宋_GB2312"/>
          <w:color w:val="auto"/>
          <w:kern w:val="0"/>
          <w:sz w:val="32"/>
          <w:szCs w:val="32"/>
          <w:highlight w:val="none"/>
          <w:lang w:val="en-US" w:eastAsia="zh-CN" w:bidi="ar"/>
        </w:rPr>
        <w:t>。在</w:t>
      </w:r>
      <w:r>
        <w:rPr>
          <w:rFonts w:hint="eastAsia" w:ascii="仿宋_GB2312" w:hAnsi="仿宋_GB2312" w:eastAsia="仿宋_GB2312" w:cs="仿宋_GB2312"/>
          <w:kern w:val="0"/>
          <w:sz w:val="32"/>
          <w:szCs w:val="32"/>
          <w:highlight w:val="none"/>
          <w:lang w:val="en-US" w:eastAsia="zh-CN" w:bidi="ar"/>
        </w:rPr>
        <w:t>严格落实《报告表》提出的各项生态环境保护和环境风险防控措施，加强环境管理的前提下，从环境影响角度分析，项目建设可行。我局原则同意《报告表》中所列建设项目的性质、规模、地点、工艺和拟采取的环境保护对策措施。</w:t>
      </w:r>
    </w:p>
    <w:p w14:paraId="131ADC5F">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0" w:beforeAutospacing="0" w:after="0" w:afterAutospacing="0" w:line="560" w:lineRule="exact"/>
        <w:ind w:left="0" w:right="0" w:firstLine="624" w:firstLineChars="195"/>
        <w:jc w:val="both"/>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项目在施工和运营中应认真落实《报告表》提出的各项环境保护措施，并重点做好以下工作：</w:t>
      </w:r>
    </w:p>
    <w:p w14:paraId="5DE6D8CA">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rFonts w:hint="eastAsia" w:ascii="仿宋_GB2312" w:hAnsi="Times New Roman" w:eastAsia="仿宋_GB2312" w:cs="宋体"/>
          <w:color w:val="0000FF"/>
          <w:kern w:val="0"/>
          <w:sz w:val="32"/>
          <w:szCs w:val="32"/>
          <w:highlight w:val="none"/>
          <w:lang w:val="en-US" w:eastAsia="zh-CN" w:bidi="ar"/>
        </w:rPr>
      </w:pPr>
      <w:r>
        <w:rPr>
          <w:rFonts w:hint="eastAsia" w:ascii="仿宋_GB2312" w:hAnsi="Times New Roman" w:eastAsia="仿宋_GB2312" w:cs="宋体"/>
          <w:color w:val="000000" w:themeColor="text1"/>
          <w:kern w:val="0"/>
          <w:sz w:val="32"/>
          <w:szCs w:val="32"/>
          <w:highlight w:val="none"/>
          <w:lang w:val="en-US" w:eastAsia="zh-CN" w:bidi="ar"/>
          <w14:textFill>
            <w14:solidFill>
              <w14:schemeClr w14:val="tx1"/>
            </w14:solidFill>
          </w14:textFill>
        </w:rPr>
        <w:t>（</w:t>
      </w:r>
      <w:r>
        <w:rPr>
          <w:rFonts w:hint="eastAsia" w:ascii="仿宋_GB2312" w:hAnsi="仿宋_GB2312" w:eastAsia="仿宋_GB2312" w:cs="仿宋_GB2312"/>
          <w:kern w:val="0"/>
          <w:sz w:val="32"/>
          <w:szCs w:val="32"/>
          <w:highlight w:val="none"/>
          <w:lang w:val="en-US" w:eastAsia="zh-CN" w:bidi="ar"/>
        </w:rPr>
        <w:t>一）</w:t>
      </w:r>
      <w:r>
        <w:rPr>
          <w:rFonts w:hint="eastAsia" w:ascii="仿宋_GB2312" w:hAnsi="仿宋_GB2312" w:eastAsia="仿宋_GB2312" w:cs="仿宋_GB2312"/>
          <w:sz w:val="32"/>
          <w:szCs w:val="32"/>
          <w:highlight w:val="none"/>
          <w:lang w:val="en-US" w:eastAsia="zh-CN" w:bidi="ar"/>
        </w:rPr>
        <w:t>严格落实各项废气污染治理措施，确保各类生产废气有效收集处理后达标排放。项目排气筒数量、高度应达到《报告表》要求并符合相关规定。排气筒应按规范预留永久监测口，并按照《报告表》及相关技术规范要求开展运营期污染源自行监测。项目各无组织废气产排节点应按照《报告表》及相关规定要求采取有效的控制措施，减少无组织排放。</w:t>
      </w:r>
      <w:r>
        <w:rPr>
          <w:rFonts w:hint="eastAsia" w:ascii="仿宋_GB2312" w:hAnsi="仿宋_GB2312" w:eastAsia="仿宋_GB2312" w:cs="仿宋_GB2312"/>
          <w:kern w:val="0"/>
          <w:sz w:val="32"/>
          <w:szCs w:val="32"/>
          <w:highlight w:val="none"/>
          <w:lang w:val="en-US" w:eastAsia="zh-CN" w:bidi="ar"/>
        </w:rPr>
        <w:t>项目有组织排放：颗粒物、二氧化硫、氮氧化物</w:t>
      </w:r>
      <w:r>
        <w:rPr>
          <w:rFonts w:hint="eastAsia" w:ascii="仿宋_GB2312" w:hAnsi="Times New Roman" w:eastAsia="仿宋_GB2312" w:cs="宋体"/>
          <w:color w:val="000000" w:themeColor="text1"/>
          <w:kern w:val="0"/>
          <w:sz w:val="32"/>
          <w:szCs w:val="32"/>
          <w:highlight w:val="none"/>
          <w:lang w:val="en-US" w:eastAsia="zh-CN" w:bidi="ar"/>
          <w14:textFill>
            <w14:solidFill>
              <w14:schemeClr w14:val="tx1"/>
            </w14:solidFill>
          </w14:textFill>
        </w:rPr>
        <w:t>执行《关于推进实施钢铁行业超低排放的意见》（环大气〔2019〕35号）钢铁企业超低排放指标限值;</w:t>
      </w:r>
      <w:r>
        <w:rPr>
          <w:rFonts w:hint="eastAsia" w:ascii="仿宋_GB2312" w:hAnsi="仿宋_GB2312" w:eastAsia="仿宋_GB2312" w:cs="仿宋_GB2312"/>
          <w:kern w:val="0"/>
          <w:sz w:val="32"/>
          <w:szCs w:val="32"/>
          <w:highlight w:val="none"/>
          <w:lang w:val="en-US" w:eastAsia="zh-CN" w:bidi="ar"/>
        </w:rPr>
        <w:t>二噁英执行《炼钢工业大气污染物排放标准》（GB28664-2012）表2标准；VOCs（以非甲烷总烃计）执行</w:t>
      </w:r>
      <w:r>
        <w:rPr>
          <w:rFonts w:hint="default" w:ascii="仿宋_GB2312" w:hAnsi="仿宋_GB2312" w:eastAsia="仿宋_GB2312" w:cs="仿宋_GB2312"/>
          <w:kern w:val="0"/>
          <w:sz w:val="32"/>
          <w:szCs w:val="32"/>
          <w:highlight w:val="none"/>
          <w:lang w:val="en-US" w:eastAsia="zh-CN" w:bidi="ar"/>
        </w:rPr>
        <w:t>《工业企业挥发性有机物排放标准》</w:t>
      </w:r>
      <w:r>
        <w:rPr>
          <w:rFonts w:hint="eastAsia" w:ascii="仿宋_GB2312" w:hAnsi="仿宋_GB2312" w:eastAsia="仿宋_GB2312" w:cs="仿宋_GB2312"/>
          <w:kern w:val="0"/>
          <w:sz w:val="32"/>
          <w:szCs w:val="32"/>
          <w:highlight w:val="none"/>
          <w:lang w:val="en-US" w:eastAsia="zh-CN" w:bidi="ar"/>
        </w:rPr>
        <w:t>（DB35/1782-2018）中表1其他行业标准。项目无组织排放：颗粒物厂房外执行</w:t>
      </w:r>
      <w:r>
        <w:rPr>
          <w:rFonts w:hint="default" w:ascii="仿宋_GB2312" w:hAnsi="仿宋_GB2312" w:eastAsia="仿宋_GB2312" w:cs="仿宋_GB2312"/>
          <w:kern w:val="0"/>
          <w:sz w:val="32"/>
          <w:szCs w:val="32"/>
          <w:highlight w:val="none"/>
          <w:lang w:val="en-US" w:eastAsia="zh-CN" w:bidi="ar"/>
        </w:rPr>
        <w:t>《</w:t>
      </w:r>
      <w:r>
        <w:rPr>
          <w:rFonts w:hint="eastAsia" w:ascii="仿宋_GB2312" w:hAnsi="仿宋_GB2312" w:eastAsia="仿宋_GB2312" w:cs="仿宋_GB2312"/>
          <w:kern w:val="0"/>
          <w:sz w:val="32"/>
          <w:szCs w:val="32"/>
          <w:highlight w:val="none"/>
          <w:lang w:val="en-US" w:eastAsia="zh-CN" w:bidi="ar"/>
        </w:rPr>
        <w:t>炼钢工业大气污染物排放标准》（</w:t>
      </w:r>
      <w:r>
        <w:rPr>
          <w:rFonts w:hint="default" w:ascii="仿宋_GB2312" w:hAnsi="仿宋_GB2312" w:eastAsia="仿宋_GB2312" w:cs="仿宋_GB2312"/>
          <w:kern w:val="0"/>
          <w:sz w:val="32"/>
          <w:szCs w:val="32"/>
          <w:highlight w:val="none"/>
          <w:lang w:val="en-US" w:eastAsia="zh-CN" w:bidi="ar"/>
        </w:rPr>
        <w:t>GB28664-2012</w:t>
      </w:r>
      <w:r>
        <w:rPr>
          <w:rFonts w:hint="eastAsia" w:ascii="仿宋_GB2312" w:hAnsi="仿宋_GB2312" w:eastAsia="仿宋_GB2312" w:cs="仿宋_GB2312"/>
          <w:kern w:val="0"/>
          <w:sz w:val="32"/>
          <w:szCs w:val="32"/>
          <w:highlight w:val="none"/>
          <w:lang w:val="en-US" w:eastAsia="zh-CN" w:bidi="ar"/>
        </w:rPr>
        <w:t>）中表4标准；颗粒物厂界执行</w:t>
      </w:r>
      <w:r>
        <w:rPr>
          <w:rFonts w:hint="default" w:ascii="仿宋_GB2312" w:hAnsi="仿宋_GB2312" w:eastAsia="仿宋_GB2312" w:cs="仿宋_GB2312"/>
          <w:kern w:val="0"/>
          <w:sz w:val="32"/>
          <w:szCs w:val="32"/>
          <w:highlight w:val="none"/>
          <w:lang w:val="en-US" w:eastAsia="zh-CN" w:bidi="ar"/>
        </w:rPr>
        <w:t>《大气污染物综合排放标准》</w:t>
      </w:r>
      <w:r>
        <w:rPr>
          <w:rFonts w:hint="eastAsia" w:ascii="仿宋_GB2312" w:hAnsi="仿宋_GB2312" w:eastAsia="仿宋_GB2312" w:cs="仿宋_GB2312"/>
          <w:kern w:val="0"/>
          <w:sz w:val="32"/>
          <w:szCs w:val="32"/>
          <w:highlight w:val="none"/>
          <w:lang w:val="en-US" w:eastAsia="zh-CN" w:bidi="ar"/>
        </w:rPr>
        <w:t>（</w:t>
      </w:r>
      <w:r>
        <w:rPr>
          <w:rFonts w:hint="default" w:ascii="仿宋_GB2312" w:hAnsi="仿宋_GB2312" w:eastAsia="仿宋_GB2312" w:cs="仿宋_GB2312"/>
          <w:kern w:val="0"/>
          <w:sz w:val="32"/>
          <w:szCs w:val="32"/>
          <w:highlight w:val="none"/>
          <w:lang w:val="en-US" w:eastAsia="zh-CN" w:bidi="ar"/>
        </w:rPr>
        <w:t>GB16297-1996</w:t>
      </w:r>
      <w:r>
        <w:rPr>
          <w:rFonts w:hint="eastAsia" w:ascii="仿宋_GB2312" w:hAnsi="仿宋_GB2312" w:eastAsia="仿宋_GB2312" w:cs="仿宋_GB2312"/>
          <w:kern w:val="0"/>
          <w:sz w:val="32"/>
          <w:szCs w:val="32"/>
          <w:highlight w:val="none"/>
          <w:lang w:val="en-US" w:eastAsia="zh-CN" w:bidi="ar"/>
        </w:rPr>
        <w:t>）</w:t>
      </w:r>
      <w:r>
        <w:rPr>
          <w:rFonts w:hint="default" w:ascii="仿宋_GB2312" w:hAnsi="仿宋_GB2312" w:eastAsia="仿宋_GB2312" w:cs="仿宋_GB2312"/>
          <w:kern w:val="0"/>
          <w:sz w:val="32"/>
          <w:szCs w:val="32"/>
          <w:highlight w:val="none"/>
          <w:lang w:val="en-US" w:eastAsia="zh-CN" w:bidi="ar"/>
        </w:rPr>
        <w:t>表2</w:t>
      </w:r>
      <w:r>
        <w:rPr>
          <w:rFonts w:hint="eastAsia" w:ascii="仿宋_GB2312" w:hAnsi="仿宋_GB2312" w:eastAsia="仿宋_GB2312" w:cs="仿宋_GB2312"/>
          <w:kern w:val="0"/>
          <w:sz w:val="32"/>
          <w:szCs w:val="32"/>
          <w:highlight w:val="none"/>
          <w:lang w:val="en-US" w:eastAsia="zh-CN" w:bidi="ar"/>
        </w:rPr>
        <w:t>周界外浓度最高点</w:t>
      </w:r>
      <w:r>
        <w:rPr>
          <w:rFonts w:hint="default" w:ascii="仿宋_GB2312" w:hAnsi="仿宋_GB2312" w:eastAsia="仿宋_GB2312" w:cs="仿宋_GB2312"/>
          <w:kern w:val="0"/>
          <w:sz w:val="32"/>
          <w:szCs w:val="32"/>
          <w:highlight w:val="none"/>
          <w:lang w:val="en-US" w:eastAsia="zh-CN" w:bidi="ar"/>
        </w:rPr>
        <w:t>排放</w:t>
      </w:r>
      <w:r>
        <w:rPr>
          <w:rFonts w:hint="default" w:ascii="仿宋_GB2312" w:hAnsi="仿宋_GB2312" w:eastAsia="仿宋_GB2312" w:cs="仿宋_GB2312"/>
          <w:color w:val="auto"/>
          <w:kern w:val="0"/>
          <w:sz w:val="32"/>
          <w:szCs w:val="32"/>
          <w:highlight w:val="none"/>
          <w:lang w:val="en-US" w:eastAsia="zh-CN" w:bidi="ar"/>
        </w:rPr>
        <w:t>限值</w:t>
      </w:r>
      <w:r>
        <w:rPr>
          <w:rFonts w:hint="eastAsia" w:ascii="仿宋_GB2312" w:hAnsi="仿宋_GB2312" w:eastAsia="仿宋_GB2312" w:cs="仿宋_GB2312"/>
          <w:color w:val="auto"/>
          <w:kern w:val="0"/>
          <w:sz w:val="32"/>
          <w:szCs w:val="32"/>
          <w:highlight w:val="none"/>
          <w:lang w:val="en-US" w:eastAsia="zh-CN" w:bidi="ar"/>
        </w:rPr>
        <w:t>。</w:t>
      </w:r>
    </w:p>
    <w:p w14:paraId="7D36595F">
      <w:pPr>
        <w:keepNext w:val="0"/>
        <w:keepLines w:val="0"/>
        <w:pageBreakBefore w:val="0"/>
        <w:widowControl w:val="0"/>
        <w:numPr>
          <w:ilvl w:val="0"/>
          <w:numId w:val="3"/>
        </w:numPr>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Times New Roman" w:eastAsia="仿宋_GB2312" w:cs="宋体"/>
          <w:color w:val="auto"/>
          <w:kern w:val="0"/>
          <w:sz w:val="32"/>
          <w:szCs w:val="32"/>
          <w:highlight w:val="none"/>
          <w:lang w:val="en-US" w:eastAsia="zh-CN" w:bidi="ar"/>
        </w:rPr>
      </w:pPr>
      <w:r>
        <w:rPr>
          <w:rFonts w:hint="eastAsia" w:ascii="仿宋_GB2312" w:hAnsi="Times New Roman" w:eastAsia="仿宋_GB2312" w:cs="宋体"/>
          <w:color w:val="auto"/>
          <w:kern w:val="0"/>
          <w:sz w:val="32"/>
          <w:szCs w:val="32"/>
          <w:highlight w:val="none"/>
          <w:lang w:val="en-US" w:eastAsia="zh-CN" w:bidi="ar"/>
        </w:rPr>
        <w:t>项目生产废水回用不外排。生活污水经处理达到《污水综合排放标准》（GB8978-1996）表4三级标准限值后，排入市政污水管网纳入长乐城区污水处理厂集中处理。</w:t>
      </w:r>
    </w:p>
    <w:p w14:paraId="4F6190CD">
      <w:pPr>
        <w:keepNext w:val="0"/>
        <w:keepLines w:val="0"/>
        <w:pageBreakBefore w:val="0"/>
        <w:widowControl w:val="0"/>
        <w:numPr>
          <w:ilvl w:val="0"/>
          <w:numId w:val="3"/>
        </w:numPr>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Times New Roman" w:eastAsia="仿宋_GB2312" w:cs="宋体"/>
          <w:color w:val="auto"/>
          <w:kern w:val="0"/>
          <w:sz w:val="32"/>
          <w:szCs w:val="32"/>
          <w:highlight w:val="none"/>
          <w:lang w:val="en-US" w:eastAsia="zh-CN" w:bidi="ar"/>
        </w:rPr>
      </w:pPr>
      <w:r>
        <w:rPr>
          <w:rFonts w:hint="eastAsia" w:ascii="仿宋_GB2312" w:hAnsi="Times New Roman" w:eastAsia="仿宋_GB2312" w:cs="宋体"/>
          <w:color w:val="auto"/>
          <w:kern w:val="0"/>
          <w:sz w:val="32"/>
          <w:szCs w:val="32"/>
          <w:highlight w:val="none"/>
          <w:lang w:val="en-US" w:eastAsia="zh-CN" w:bidi="ar"/>
        </w:rPr>
        <w:t>优先选用低噪声设备，对高噪声污染源采取减振、隔声、降噪措施，东、西厂界噪声排放执行《工业企业厂界环境噪声排放标准》（GB12348-2008）3类标准，南、北</w:t>
      </w:r>
      <w:r>
        <w:rPr>
          <w:rFonts w:hint="default" w:ascii="仿宋_GB2312" w:hAnsi="Times New Roman" w:eastAsia="仿宋_GB2312" w:cs="宋体"/>
          <w:color w:val="auto"/>
          <w:kern w:val="0"/>
          <w:sz w:val="32"/>
          <w:szCs w:val="32"/>
          <w:highlight w:val="none"/>
          <w:lang w:val="en-US" w:eastAsia="zh-CN" w:bidi="ar"/>
        </w:rPr>
        <w:t>厂界噪声</w:t>
      </w:r>
      <w:r>
        <w:rPr>
          <w:rFonts w:hint="eastAsia" w:ascii="仿宋_GB2312" w:hAnsi="Times New Roman" w:eastAsia="仿宋_GB2312" w:cs="宋体"/>
          <w:color w:val="auto"/>
          <w:kern w:val="0"/>
          <w:sz w:val="32"/>
          <w:szCs w:val="32"/>
          <w:highlight w:val="none"/>
          <w:lang w:val="en-US" w:eastAsia="zh-CN" w:bidi="ar"/>
        </w:rPr>
        <w:t>排放</w:t>
      </w:r>
      <w:r>
        <w:rPr>
          <w:rFonts w:hint="default" w:ascii="仿宋_GB2312" w:hAnsi="Times New Roman" w:eastAsia="仿宋_GB2312" w:cs="宋体"/>
          <w:color w:val="auto"/>
          <w:kern w:val="0"/>
          <w:sz w:val="32"/>
          <w:szCs w:val="32"/>
          <w:highlight w:val="none"/>
          <w:lang w:val="en-US" w:eastAsia="zh-CN" w:bidi="ar"/>
        </w:rPr>
        <w:t>执行《工业企业厂界环境噪声排放标准》（GB12348-2008）的4类标准</w:t>
      </w:r>
      <w:r>
        <w:rPr>
          <w:rFonts w:hint="eastAsia" w:ascii="仿宋_GB2312" w:hAnsi="Times New Roman" w:eastAsia="仿宋_GB2312" w:cs="宋体"/>
          <w:color w:val="auto"/>
          <w:kern w:val="0"/>
          <w:sz w:val="32"/>
          <w:szCs w:val="32"/>
          <w:highlight w:val="none"/>
          <w:lang w:val="en-US" w:eastAsia="zh-CN" w:bidi="ar"/>
        </w:rPr>
        <w:t>。施工期噪声执行</w:t>
      </w:r>
      <w:r>
        <w:rPr>
          <w:rFonts w:hint="default" w:ascii="仿宋_GB2312" w:hAnsi="Times New Roman" w:eastAsia="仿宋_GB2312" w:cs="宋体"/>
          <w:i w:val="0"/>
          <w:iCs w:val="0"/>
          <w:caps w:val="0"/>
          <w:color w:val="auto"/>
          <w:spacing w:val="0"/>
          <w:kern w:val="0"/>
          <w:sz w:val="32"/>
          <w:szCs w:val="32"/>
          <w:highlight w:val="none"/>
          <w:u w:val="none"/>
          <w:shd w:val="clear" w:fill="auto"/>
          <w:lang w:bidi="ar"/>
        </w:rPr>
        <w:fldChar w:fldCharType="begin"/>
      </w:r>
      <w:r>
        <w:rPr>
          <w:rFonts w:hint="default" w:ascii="仿宋_GB2312" w:hAnsi="Times New Roman" w:eastAsia="仿宋_GB2312" w:cs="宋体"/>
          <w:i w:val="0"/>
          <w:iCs w:val="0"/>
          <w:caps w:val="0"/>
          <w:color w:val="auto"/>
          <w:spacing w:val="0"/>
          <w:kern w:val="0"/>
          <w:sz w:val="32"/>
          <w:szCs w:val="32"/>
          <w:highlight w:val="none"/>
          <w:u w:val="none"/>
          <w:shd w:val="clear" w:fill="auto"/>
          <w:lang w:bidi="ar"/>
        </w:rPr>
        <w:instrText xml:space="preserve"> HYPERLINK "http://www.mee.gov.cn/ywgz/fgbz/bz/bzwb/wlhj/hjzspfbz/202512/t20251211_1137517.shtml" </w:instrText>
      </w:r>
      <w:r>
        <w:rPr>
          <w:rFonts w:hint="default" w:ascii="仿宋_GB2312" w:hAnsi="Times New Roman" w:eastAsia="仿宋_GB2312" w:cs="宋体"/>
          <w:i w:val="0"/>
          <w:iCs w:val="0"/>
          <w:caps w:val="0"/>
          <w:color w:val="auto"/>
          <w:spacing w:val="0"/>
          <w:kern w:val="0"/>
          <w:sz w:val="32"/>
          <w:szCs w:val="32"/>
          <w:highlight w:val="none"/>
          <w:u w:val="none"/>
          <w:shd w:val="clear" w:fill="auto"/>
          <w:lang w:bidi="ar"/>
        </w:rPr>
        <w:fldChar w:fldCharType="separate"/>
      </w:r>
      <w:r>
        <w:rPr>
          <w:rStyle w:val="15"/>
          <w:rFonts w:hint="default" w:ascii="仿宋_GB2312" w:hAnsi="Times New Roman" w:eastAsia="仿宋_GB2312" w:cs="宋体"/>
          <w:i w:val="0"/>
          <w:iCs w:val="0"/>
          <w:caps w:val="0"/>
          <w:color w:val="auto"/>
          <w:spacing w:val="0"/>
          <w:kern w:val="0"/>
          <w:sz w:val="32"/>
          <w:szCs w:val="32"/>
          <w:highlight w:val="none"/>
          <w:u w:val="none"/>
          <w:shd w:val="clear" w:fill="FFFFFF"/>
          <w:lang w:bidi="ar"/>
        </w:rPr>
        <w:t>《建筑施工噪声排放标准》（GB 12523-2025）</w:t>
      </w:r>
      <w:r>
        <w:rPr>
          <w:rFonts w:hint="default" w:ascii="仿宋_GB2312" w:hAnsi="Times New Roman" w:eastAsia="仿宋_GB2312" w:cs="宋体"/>
          <w:i w:val="0"/>
          <w:iCs w:val="0"/>
          <w:caps w:val="0"/>
          <w:color w:val="auto"/>
          <w:spacing w:val="0"/>
          <w:kern w:val="0"/>
          <w:sz w:val="32"/>
          <w:szCs w:val="32"/>
          <w:highlight w:val="none"/>
          <w:u w:val="none"/>
          <w:shd w:val="clear" w:fill="auto"/>
          <w:lang w:bidi="ar"/>
        </w:rPr>
        <w:fldChar w:fldCharType="end"/>
      </w:r>
      <w:r>
        <w:rPr>
          <w:rFonts w:hint="default" w:ascii="仿宋_GB2312" w:hAnsi="Times New Roman" w:eastAsia="仿宋_GB2312" w:cs="宋体"/>
          <w:i w:val="0"/>
          <w:iCs w:val="0"/>
          <w:caps w:val="0"/>
          <w:color w:val="auto"/>
          <w:spacing w:val="0"/>
          <w:kern w:val="0"/>
          <w:sz w:val="32"/>
          <w:szCs w:val="32"/>
          <w:highlight w:val="none"/>
          <w:u w:val="none"/>
          <w:shd w:val="clear" w:fill="auto"/>
          <w:lang w:eastAsia="zh-CN" w:bidi="ar"/>
        </w:rPr>
        <w:t>。</w:t>
      </w:r>
    </w:p>
    <w:p w14:paraId="72D4B071">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rFonts w:hint="eastAsia" w:ascii="仿宋_GB2312" w:hAnsi="Times New Roman" w:eastAsia="仿宋_GB2312" w:cs="宋体"/>
          <w:color w:val="auto"/>
          <w:kern w:val="0"/>
          <w:sz w:val="32"/>
          <w:szCs w:val="32"/>
          <w:highlight w:val="yellow"/>
          <w:lang w:val="en-US" w:eastAsia="zh-CN" w:bidi="ar"/>
        </w:rPr>
      </w:pPr>
      <w:r>
        <w:rPr>
          <w:rFonts w:hint="eastAsia" w:ascii="仿宋_GB2312" w:hAnsi="Times New Roman" w:eastAsia="仿宋_GB2312" w:cs="宋体"/>
          <w:color w:val="auto"/>
          <w:kern w:val="0"/>
          <w:sz w:val="32"/>
          <w:szCs w:val="32"/>
          <w:highlight w:val="none"/>
          <w:lang w:val="en-US" w:eastAsia="zh-CN" w:bidi="ar"/>
        </w:rPr>
        <w:t>（四）</w:t>
      </w:r>
      <w:r>
        <w:rPr>
          <w:rFonts w:hint="eastAsia" w:ascii="仿宋_GB2312" w:hAnsi="Times New Roman" w:eastAsia="仿宋_GB2312" w:cs="宋体"/>
          <w:kern w:val="0"/>
          <w:sz w:val="32"/>
          <w:szCs w:val="32"/>
          <w:highlight w:val="none"/>
          <w:lang w:val="en-US" w:eastAsia="zh-CN" w:bidi="ar"/>
        </w:rPr>
        <w:t>固体废物应实施分类收集、贮存、处理和处置，并按规范建设固体废物贮存场所及建立固体废物管理台账，加强全过程规范化管理。</w:t>
      </w:r>
      <w:r>
        <w:rPr>
          <w:rFonts w:hint="eastAsia" w:ascii="仿宋_GB2312" w:hAnsi="Times New Roman" w:eastAsia="仿宋_GB2312" w:cs="宋体"/>
          <w:color w:val="auto"/>
          <w:kern w:val="0"/>
          <w:sz w:val="32"/>
          <w:szCs w:val="32"/>
          <w:highlight w:val="none"/>
          <w:lang w:val="en-US" w:eastAsia="zh-CN" w:bidi="ar"/>
        </w:rPr>
        <w:t>废矿物油、废油桶等危险废物依托厂区现有的危废贮存库暂存，并委托有资质单位收集处置。危险废物贮存执行《危险废物贮存污染控制标准》（GB18597-2023）要求，转移管理执行《危险废物转移管理办法》（部令第23号）相关规定。</w:t>
      </w:r>
    </w:p>
    <w:p w14:paraId="0C058ADB">
      <w:pPr>
        <w:numPr>
          <w:ilvl w:val="0"/>
          <w:numId w:val="0"/>
        </w:numPr>
        <w:snapToGrid w:val="0"/>
        <w:spacing w:line="560" w:lineRule="exact"/>
        <w:ind w:firstLine="640" w:firstLineChars="200"/>
        <w:rPr>
          <w:rFonts w:hint="eastAsia" w:ascii="仿宋_GB2312" w:hAnsi="仿宋_GB2312" w:eastAsia="仿宋_GB2312" w:cs="仿宋_GB2312"/>
          <w:sz w:val="32"/>
          <w:szCs w:val="32"/>
          <w:highlight w:val="none"/>
          <w:lang w:val="en-US" w:eastAsia="zh-CN" w:bidi="ar"/>
        </w:rPr>
      </w:pPr>
      <w:r>
        <w:rPr>
          <w:rFonts w:hint="eastAsia" w:ascii="仿宋_GB2312" w:hAnsi="Times New Roman" w:eastAsia="仿宋_GB2312" w:cs="宋体"/>
          <w:color w:val="auto"/>
          <w:kern w:val="0"/>
          <w:sz w:val="32"/>
          <w:szCs w:val="32"/>
          <w:highlight w:val="none"/>
          <w:lang w:val="en-US" w:eastAsia="zh-CN" w:bidi="ar"/>
        </w:rPr>
        <w:t>（五）项目</w:t>
      </w:r>
      <w:r>
        <w:rPr>
          <w:rFonts w:hint="default" w:ascii="仿宋_GB2312" w:hAnsi="Times New Roman" w:eastAsia="仿宋_GB2312" w:cs="宋体"/>
          <w:color w:val="auto"/>
          <w:kern w:val="0"/>
          <w:sz w:val="32"/>
          <w:szCs w:val="32"/>
          <w:highlight w:val="none"/>
          <w:lang w:val="en-US" w:eastAsia="zh-CN" w:bidi="ar"/>
        </w:rPr>
        <w:t>依托</w:t>
      </w:r>
      <w:r>
        <w:rPr>
          <w:rFonts w:hint="eastAsia" w:ascii="仿宋_GB2312" w:hAnsi="Times New Roman" w:eastAsia="仿宋_GB2312" w:cs="宋体"/>
          <w:color w:val="auto"/>
          <w:kern w:val="0"/>
          <w:sz w:val="32"/>
          <w:szCs w:val="32"/>
          <w:highlight w:val="none"/>
          <w:lang w:val="en-US" w:eastAsia="zh-CN" w:bidi="ar"/>
        </w:rPr>
        <w:t>厂区现</w:t>
      </w:r>
      <w:r>
        <w:rPr>
          <w:rFonts w:hint="default" w:ascii="仿宋_GB2312" w:hAnsi="Times New Roman" w:eastAsia="仿宋_GB2312" w:cs="宋体"/>
          <w:color w:val="auto"/>
          <w:kern w:val="0"/>
          <w:sz w:val="32"/>
          <w:szCs w:val="32"/>
          <w:highlight w:val="none"/>
          <w:lang w:val="en-US" w:eastAsia="zh-CN" w:bidi="ar"/>
        </w:rPr>
        <w:t>有事故废水防</w:t>
      </w:r>
      <w:r>
        <w:rPr>
          <w:rFonts w:hint="eastAsia" w:ascii="仿宋_GB2312" w:hAnsi="Times New Roman" w:eastAsia="仿宋_GB2312" w:cs="宋体"/>
          <w:color w:val="auto"/>
          <w:kern w:val="0"/>
          <w:sz w:val="32"/>
          <w:szCs w:val="32"/>
          <w:highlight w:val="none"/>
          <w:lang w:val="en-US" w:eastAsia="zh-CN" w:bidi="ar"/>
        </w:rPr>
        <w:t>控系统</w:t>
      </w:r>
      <w:r>
        <w:rPr>
          <w:rFonts w:hint="default" w:ascii="仿宋_GB2312" w:hAnsi="Times New Roman" w:eastAsia="仿宋_GB2312" w:cs="宋体"/>
          <w:color w:val="auto"/>
          <w:kern w:val="0"/>
          <w:sz w:val="32"/>
          <w:szCs w:val="32"/>
          <w:highlight w:val="none"/>
          <w:lang w:val="en-US" w:eastAsia="zh-CN" w:bidi="ar"/>
        </w:rPr>
        <w:t>，</w:t>
      </w:r>
      <w:r>
        <w:rPr>
          <w:rFonts w:hint="eastAsia" w:ascii="仿宋_GB2312" w:hAnsi="Times New Roman" w:eastAsia="仿宋_GB2312" w:cs="宋体"/>
          <w:color w:val="auto"/>
          <w:kern w:val="0"/>
          <w:sz w:val="32"/>
          <w:szCs w:val="32"/>
          <w:highlight w:val="none"/>
          <w:lang w:val="en-US" w:eastAsia="zh-CN" w:bidi="ar"/>
        </w:rPr>
        <w:t>你司应</w:t>
      </w:r>
      <w:r>
        <w:rPr>
          <w:rFonts w:hint="eastAsia" w:ascii="仿宋_GB2312" w:hAnsi="仿宋_GB2312" w:eastAsia="仿宋_GB2312" w:cs="仿宋_GB2312"/>
          <w:sz w:val="32"/>
          <w:szCs w:val="32"/>
          <w:highlight w:val="none"/>
          <w:lang w:val="en-US" w:eastAsia="zh-CN" w:bidi="ar"/>
        </w:rPr>
        <w:t>加强环境风险管理，</w:t>
      </w:r>
      <w:r>
        <w:rPr>
          <w:rFonts w:hint="eastAsia" w:ascii="仿宋_GB2312" w:hAnsi="Times New Roman" w:eastAsia="仿宋_GB2312" w:cs="宋体"/>
          <w:color w:val="auto"/>
          <w:kern w:val="0"/>
          <w:sz w:val="32"/>
          <w:szCs w:val="32"/>
          <w:highlight w:val="none"/>
          <w:lang w:val="en-US" w:eastAsia="zh-CN" w:bidi="ar"/>
        </w:rPr>
        <w:t>及时编制企业突发环境事件应急预案报长乐生态环境局备案，并与地方政府建立应急联动机制</w:t>
      </w:r>
      <w:r>
        <w:rPr>
          <w:rFonts w:hint="eastAsia" w:ascii="仿宋_GB2312" w:hAnsi="仿宋_GB2312" w:eastAsia="仿宋_GB2312" w:cs="仿宋_GB2312"/>
          <w:sz w:val="32"/>
          <w:szCs w:val="32"/>
          <w:highlight w:val="none"/>
          <w:lang w:val="en-US" w:eastAsia="zh-CN" w:bidi="ar"/>
        </w:rPr>
        <w:t>，储备足够的环境应急物资和应急装备，定期开展环境应急演练。</w:t>
      </w:r>
    </w:p>
    <w:p w14:paraId="3D8AA04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宋体"/>
          <w:color w:val="auto"/>
          <w:kern w:val="0"/>
          <w:sz w:val="32"/>
          <w:szCs w:val="32"/>
          <w:highlight w:val="none"/>
          <w:lang w:val="en-US" w:eastAsia="zh-CN" w:bidi="ar"/>
        </w:rPr>
      </w:pPr>
      <w:r>
        <w:rPr>
          <w:rFonts w:hint="eastAsia" w:ascii="仿宋_GB2312" w:hAnsi="Times New Roman" w:eastAsia="仿宋_GB2312" w:cs="宋体"/>
          <w:color w:val="auto"/>
          <w:kern w:val="0"/>
          <w:sz w:val="32"/>
          <w:szCs w:val="32"/>
          <w:highlight w:val="none"/>
          <w:lang w:val="en-US" w:eastAsia="zh-CN" w:bidi="ar"/>
        </w:rPr>
        <w:t>三、本项目新增主要污染物排放总量控制要求为：二氧化硫</w:t>
      </w:r>
      <w:r>
        <w:rPr>
          <w:rFonts w:hint="eastAsia"/>
          <w:color w:val="auto"/>
          <w:sz w:val="32"/>
          <w:szCs w:val="32"/>
          <w:highlight w:val="none"/>
          <w:lang w:val="en-US" w:eastAsia="zh-CN"/>
        </w:rPr>
        <w:t>≤</w:t>
      </w:r>
      <w:r>
        <w:rPr>
          <w:rFonts w:hint="eastAsia" w:ascii="仿宋_GB2312" w:hAnsi="Times New Roman" w:eastAsia="仿宋_GB2312" w:cs="宋体"/>
          <w:color w:val="auto"/>
          <w:kern w:val="0"/>
          <w:sz w:val="32"/>
          <w:szCs w:val="32"/>
          <w:highlight w:val="none"/>
          <w:lang w:val="en-US" w:eastAsia="zh-CN" w:bidi="ar"/>
        </w:rPr>
        <w:t>0.087吨/年、氮氧化物</w:t>
      </w:r>
      <w:r>
        <w:rPr>
          <w:rFonts w:hint="eastAsia"/>
          <w:color w:val="auto"/>
          <w:sz w:val="32"/>
          <w:szCs w:val="32"/>
          <w:highlight w:val="none"/>
          <w:lang w:val="en-US" w:eastAsia="zh-CN"/>
        </w:rPr>
        <w:t>≤</w:t>
      </w:r>
      <w:r>
        <w:rPr>
          <w:rFonts w:hint="eastAsia" w:ascii="仿宋_GB2312" w:hAnsi="Times New Roman" w:eastAsia="仿宋_GB2312" w:cs="宋体"/>
          <w:color w:val="auto"/>
          <w:kern w:val="0"/>
          <w:sz w:val="32"/>
          <w:szCs w:val="32"/>
          <w:highlight w:val="none"/>
          <w:lang w:val="en-US" w:eastAsia="zh-CN" w:bidi="ar"/>
        </w:rPr>
        <w:t>4.936吨/年、</w:t>
      </w:r>
      <w:r>
        <w:rPr>
          <w:rFonts w:hint="eastAsia" w:ascii="仿宋_GB2312" w:hAnsi="仿宋_GB2312" w:eastAsia="仿宋_GB2312" w:cs="仿宋_GB2312"/>
          <w:sz w:val="32"/>
          <w:szCs w:val="32"/>
          <w:highlight w:val="none"/>
          <w:lang w:bidi="ar"/>
        </w:rPr>
        <w:t>VOCs</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w:t>
      </w:r>
      <w:r>
        <w:rPr>
          <w:rFonts w:hint="eastAsia" w:ascii="仿宋_GB2312" w:hAnsi="Times New Roman" w:eastAsia="仿宋_GB2312" w:cs="宋体"/>
          <w:color w:val="auto"/>
          <w:kern w:val="0"/>
          <w:sz w:val="32"/>
          <w:szCs w:val="32"/>
          <w:highlight w:val="none"/>
          <w:lang w:val="en-US" w:eastAsia="zh-CN" w:bidi="ar"/>
        </w:rPr>
        <w:t>16吨/年;新增氮氧化物总量指标按1.8倍交易，所需排污权指标为：氮氧化物8.8848吨/年。你司应按照相关规定，于项目投产前取得排污权指标，按照VOCs倍量替代原则向属地生态环境局取得VOCs总量指标。项目改扩建后全厂主要污染物排放总量控制要求为：二氧化硫≤153.087吨/年、氮氧化物≤174.126吨/年、VOCs≤2.17吨/年。</w:t>
      </w:r>
    </w:p>
    <w:p w14:paraId="123C7A3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四、《报告表》批准后，如建设项目的性质、规模、地点、采用的生产工艺或者防治污染、防止生态破坏的措施发生重大变动的，应当依法重新报批项目环评。《报告表》自批准之日起满5年，项目方开工建设的，其环评应当依法报生态环境部门重新审核。</w:t>
      </w:r>
    </w:p>
    <w:p w14:paraId="4ED6FB5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624" w:firstLineChars="195"/>
        <w:jc w:val="both"/>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五、项目应加强环境管理，推进落实各项生态环境保护措施。严格执行环境保护“三同时”制度，加强施工期环境管理。竣工后应按规定程序实施竣工环境保护验收。</w:t>
      </w:r>
    </w:p>
    <w:p w14:paraId="0A62C25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六、我局委托福州市生态环境保护综合执法支队开展该项目环保“三同时”监督检查，竣工后，由福州市长乐生态环境局负责该项目日常环保监督管理工作。</w:t>
      </w:r>
    </w:p>
    <w:p w14:paraId="17BCFE1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0"/>
          <w:sz w:val="32"/>
          <w:szCs w:val="32"/>
          <w:highlight w:val="none"/>
          <w:lang w:val="en-US" w:eastAsia="zh-CN" w:bidi="ar"/>
        </w:rPr>
      </w:pPr>
    </w:p>
    <w:p w14:paraId="21FDB45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0"/>
          <w:sz w:val="32"/>
          <w:szCs w:val="32"/>
          <w:highlight w:val="none"/>
          <w:lang w:val="en-US" w:eastAsia="zh-CN" w:bidi="ar"/>
        </w:rPr>
      </w:pPr>
    </w:p>
    <w:p w14:paraId="35809FDC">
      <w:pPr>
        <w:pStyle w:val="9"/>
        <w:keepNext w:val="0"/>
        <w:keepLines w:val="0"/>
        <w:pageBreakBefore w:val="0"/>
        <w:widowControl/>
        <w:kinsoku/>
        <w:wordWrap/>
        <w:overflowPunct/>
        <w:topLinePunct w:val="0"/>
        <w:autoSpaceDE/>
        <w:autoSpaceDN/>
        <w:bidi w:val="0"/>
        <w:adjustRightInd/>
        <w:snapToGrid w:val="0"/>
        <w:spacing w:beforeAutospacing="0" w:afterAutospacing="0" w:line="560" w:lineRule="exact"/>
        <w:ind w:right="1170" w:rightChars="557"/>
        <w:jc w:val="right"/>
        <w:textAlignment w:val="auto"/>
        <w:rPr>
          <w:rFonts w:hint="eastAsia" w:ascii="仿宋_GB2312" w:hAnsi="仿宋_GB2312" w:eastAsia="仿宋_GB2312" w:cs="仿宋_GB2312"/>
          <w:highlight w:val="none"/>
          <w:lang w:val="en-US"/>
        </w:rPr>
      </w:pPr>
      <w:r>
        <w:rPr>
          <w:rFonts w:hint="eastAsia" w:ascii="仿宋_GB2312" w:hAnsi="仿宋_GB2312" w:eastAsia="仿宋_GB2312" w:cs="仿宋_GB2312"/>
          <w:highlight w:val="none"/>
          <w:lang w:eastAsia="zh-CN"/>
        </w:rPr>
        <w:t>福州市生态环境局</w:t>
      </w:r>
    </w:p>
    <w:p w14:paraId="28DD87A2">
      <w:pPr>
        <w:pStyle w:val="9"/>
        <w:keepNext w:val="0"/>
        <w:keepLines w:val="0"/>
        <w:pageBreakBefore w:val="0"/>
        <w:widowControl/>
        <w:kinsoku/>
        <w:wordWrap/>
        <w:overflowPunct/>
        <w:topLinePunct w:val="0"/>
        <w:autoSpaceDE/>
        <w:autoSpaceDN/>
        <w:bidi w:val="0"/>
        <w:adjustRightInd/>
        <w:snapToGrid w:val="0"/>
        <w:spacing w:beforeAutospacing="0" w:afterAutospacing="0" w:line="560" w:lineRule="exact"/>
        <w:ind w:right="1170" w:rightChars="557"/>
        <w:jc w:val="right"/>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rPr>
        <w:t>20</w:t>
      </w:r>
      <w:r>
        <w:rPr>
          <w:rFonts w:hint="eastAsia" w:ascii="仿宋_GB2312" w:hAnsi="仿宋_GB2312" w:eastAsia="仿宋_GB2312" w:cs="仿宋_GB2312"/>
          <w:highlight w:val="none"/>
          <w:lang w:val="en-US" w:eastAsia="zh-CN"/>
        </w:rPr>
        <w:t>26</w:t>
      </w:r>
      <w:r>
        <w:rPr>
          <w:rFonts w:hint="eastAsia" w:ascii="仿宋_GB2312" w:hAnsi="仿宋_GB2312" w:eastAsia="仿宋_GB2312" w:cs="仿宋_GB2312"/>
          <w:highlight w:val="none"/>
          <w:lang w:eastAsia="zh-CN"/>
        </w:rPr>
        <w:t>年</w:t>
      </w:r>
      <w:r>
        <w:rPr>
          <w:rFonts w:hint="eastAsia" w:ascii="仿宋_GB2312" w:hAnsi="仿宋_GB2312" w:eastAsia="仿宋_GB2312" w:cs="仿宋_GB2312"/>
          <w:highlight w:val="none"/>
          <w:lang w:val="en-US" w:eastAsia="zh-CN"/>
        </w:rPr>
        <w:t>6</w:t>
      </w:r>
      <w:r>
        <w:rPr>
          <w:rFonts w:hint="eastAsia" w:ascii="仿宋_GB2312" w:hAnsi="仿宋_GB2312" w:eastAsia="仿宋_GB2312" w:cs="仿宋_GB2312"/>
          <w:highlight w:val="none"/>
          <w:lang w:eastAsia="zh-CN"/>
        </w:rPr>
        <w:t>月</w:t>
      </w:r>
      <w:r>
        <w:rPr>
          <w:rFonts w:hint="eastAsia" w:ascii="仿宋_GB2312" w:hAnsi="仿宋_GB2312" w:eastAsia="仿宋_GB2312" w:cs="仿宋_GB2312"/>
          <w:highlight w:val="none"/>
          <w:lang w:val="en-US" w:eastAsia="zh-CN"/>
        </w:rPr>
        <w:t>26</w:t>
      </w:r>
      <w:r>
        <w:rPr>
          <w:rFonts w:hint="eastAsia" w:ascii="仿宋_GB2312" w:hAnsi="仿宋_GB2312" w:eastAsia="仿宋_GB2312" w:cs="仿宋_GB2312"/>
          <w:highlight w:val="none"/>
          <w:lang w:eastAsia="zh-CN"/>
        </w:rPr>
        <w:t>日</w:t>
      </w:r>
    </w:p>
    <w:p w14:paraId="02F4FAB5">
      <w:pPr>
        <w:pStyle w:val="8"/>
        <w:keepNext w:val="0"/>
        <w:keepLines w:val="0"/>
        <w:pageBreakBefore w:val="0"/>
        <w:kinsoku/>
        <w:overflowPunct/>
        <w:topLinePunct w:val="0"/>
        <w:autoSpaceDE/>
        <w:autoSpaceDN/>
        <w:bidi w:val="0"/>
        <w:adjustRightInd/>
        <w:spacing w:line="560" w:lineRule="exact"/>
        <w:textAlignment w:val="auto"/>
        <w:rPr>
          <w:rFonts w:hint="eastAsia" w:ascii="仿宋_GB2312" w:hAnsi="仿宋_GB2312" w:eastAsia="仿宋_GB2312" w:cs="仿宋_GB2312"/>
          <w:highlight w:val="none"/>
          <w:lang w:eastAsia="zh-CN"/>
        </w:rPr>
      </w:pPr>
    </w:p>
    <w:p w14:paraId="333602D1">
      <w:pPr>
        <w:keepNext w:val="0"/>
        <w:keepLines w:val="0"/>
        <w:pageBreakBefore w:val="0"/>
        <w:kinsoku/>
        <w:overflowPunct/>
        <w:topLinePunct w:val="0"/>
        <w:autoSpaceDE/>
        <w:autoSpaceDN/>
        <w:bidi w:val="0"/>
        <w:adjustRightInd/>
        <w:spacing w:line="560" w:lineRule="exact"/>
        <w:textAlignment w:val="auto"/>
        <w:rPr>
          <w:rFonts w:hint="eastAsia"/>
          <w:lang w:val="en-US" w:eastAsia="zh-CN"/>
        </w:rPr>
      </w:pPr>
    </w:p>
    <w:p w14:paraId="77B36B41">
      <w:pPr>
        <w:keepNext w:val="0"/>
        <w:keepLines w:val="0"/>
        <w:pageBreakBefore w:val="0"/>
        <w:kinsoku/>
        <w:overflowPunct/>
        <w:topLinePunct w:val="0"/>
        <w:autoSpaceDE/>
        <w:autoSpaceDN/>
        <w:bidi w:val="0"/>
        <w:adjustRightInd/>
        <w:spacing w:line="560" w:lineRule="exact"/>
        <w:textAlignment w:val="auto"/>
        <w:rPr>
          <w:rFonts w:hint="default" w:eastAsiaTheme="minorEastAsia"/>
          <w:lang w:val="en-US" w:eastAsia="zh-CN"/>
        </w:rPr>
      </w:pPr>
    </w:p>
    <w:p w14:paraId="62CB6B1D">
      <w:pPr>
        <w:keepNext w:val="0"/>
        <w:keepLines w:val="0"/>
        <w:pageBreakBefore w:val="0"/>
        <w:kinsoku/>
        <w:overflowPunct/>
        <w:topLinePunct w:val="0"/>
        <w:autoSpaceDE/>
        <w:autoSpaceDN/>
        <w:bidi w:val="0"/>
        <w:adjustRightInd/>
        <w:spacing w:line="560" w:lineRule="exact"/>
        <w:textAlignment w:val="auto"/>
        <w:rPr>
          <w:rFonts w:hint="eastAsia"/>
          <w:lang w:val="en-US" w:eastAsia="zh-CN"/>
        </w:rPr>
      </w:pPr>
    </w:p>
    <w:p w14:paraId="6857B6E8">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_GB2312" w:eastAsia="仿宋_GB2312" w:cs="仿宋_GB2312"/>
          <w:highlight w:val="none"/>
          <w:lang w:val="en-US"/>
        </w:rPr>
      </w:pPr>
    </w:p>
    <w:tbl>
      <w:tblPr>
        <w:tblStyle w:val="13"/>
        <w:tblW w:w="87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55"/>
        <w:gridCol w:w="3885"/>
        <w:gridCol w:w="3675"/>
      </w:tblGrid>
      <w:tr w14:paraId="691A1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00" w:hRule="atLeast"/>
        </w:trPr>
        <w:tc>
          <w:tcPr>
            <w:tcW w:w="1155" w:type="dxa"/>
            <w:tcBorders>
              <w:top w:val="single" w:color="auto" w:sz="4" w:space="0"/>
              <w:left w:val="nil"/>
              <w:bottom w:val="single" w:color="auto" w:sz="4" w:space="0"/>
              <w:right w:val="nil"/>
            </w:tcBorders>
            <w:shd w:val="clear" w:color="auto" w:fill="auto"/>
            <w:vAlign w:val="center"/>
          </w:tcPr>
          <w:p w14:paraId="6B7BF55D">
            <w:pPr>
              <w:keepNext w:val="0"/>
              <w:keepLines w:val="0"/>
              <w:pageBreakBefore w:val="0"/>
              <w:widowControl w:val="0"/>
              <w:suppressLineNumbers w:val="0"/>
              <w:tabs>
                <w:tab w:val="left" w:pos="3885"/>
              </w:tabs>
              <w:kinsoku/>
              <w:overflowPunct/>
              <w:topLinePunct w:val="0"/>
              <w:autoSpaceDE/>
              <w:autoSpaceDN/>
              <w:bidi w:val="0"/>
              <w:adjustRightInd/>
              <w:spacing w:before="0" w:beforeAutospacing="0" w:after="0" w:afterAutospacing="0" w:line="560" w:lineRule="exact"/>
              <w:ind w:left="0" w:right="0" w:firstLine="179" w:firstLineChars="64"/>
              <w:jc w:val="both"/>
              <w:textAlignment w:val="auto"/>
              <w:rPr>
                <w:rFonts w:hint="eastAsia" w:ascii="仿宋_GB2312" w:eastAsia="仿宋_GB2312" w:cs="仿宋_GB2312"/>
                <w:sz w:val="28"/>
                <w:szCs w:val="28"/>
                <w:highlight w:val="none"/>
                <w:lang w:val="en-US"/>
              </w:rPr>
            </w:pPr>
            <w:r>
              <w:rPr>
                <w:rFonts w:hint="eastAsia" w:ascii="仿宋_GB2312" w:hAnsi="Times New Roman" w:eastAsia="仿宋_GB2312" w:cs="仿宋_GB2312"/>
                <w:kern w:val="2"/>
                <w:sz w:val="28"/>
                <w:szCs w:val="28"/>
                <w:highlight w:val="none"/>
                <w:lang w:val="en-US" w:eastAsia="zh-CN" w:bidi="ar"/>
              </w:rPr>
              <w:t>抄送：</w:t>
            </w:r>
          </w:p>
        </w:tc>
        <w:tc>
          <w:tcPr>
            <w:tcW w:w="7560" w:type="dxa"/>
            <w:gridSpan w:val="2"/>
            <w:tcBorders>
              <w:top w:val="single" w:color="auto" w:sz="4" w:space="0"/>
              <w:left w:val="nil"/>
              <w:bottom w:val="single" w:color="auto" w:sz="4" w:space="0"/>
              <w:right w:val="nil"/>
            </w:tcBorders>
            <w:shd w:val="clear" w:color="auto" w:fill="auto"/>
            <w:vAlign w:val="center"/>
          </w:tcPr>
          <w:p w14:paraId="5884D6EF">
            <w:pPr>
              <w:keepNext w:val="0"/>
              <w:keepLines w:val="0"/>
              <w:pageBreakBefore w:val="0"/>
              <w:widowControl w:val="0"/>
              <w:suppressLineNumbers w:val="0"/>
              <w:tabs>
                <w:tab w:val="left" w:pos="3885"/>
              </w:tabs>
              <w:kinsoku/>
              <w:overflowPunct/>
              <w:topLinePunct w:val="0"/>
              <w:autoSpaceDE/>
              <w:autoSpaceDN/>
              <w:bidi w:val="0"/>
              <w:adjustRightInd/>
              <w:spacing w:before="0" w:beforeAutospacing="0" w:after="0" w:afterAutospacing="0" w:line="560" w:lineRule="exact"/>
              <w:ind w:left="0" w:right="0"/>
              <w:jc w:val="both"/>
              <w:textAlignment w:val="auto"/>
              <w:rPr>
                <w:rFonts w:hint="eastAsia" w:ascii="仿宋_GB2312" w:eastAsia="仿宋_GB2312" w:cs="仿宋_GB2312"/>
                <w:sz w:val="28"/>
                <w:szCs w:val="28"/>
                <w:highlight w:val="none"/>
                <w:lang w:val="en-US"/>
              </w:rPr>
            </w:pPr>
            <w:r>
              <w:rPr>
                <w:rFonts w:hint="eastAsia" w:ascii="仿宋_GB2312" w:hAnsi="Times New Roman" w:eastAsia="仿宋_GB2312" w:cs="仿宋_GB2312"/>
                <w:kern w:val="2"/>
                <w:sz w:val="28"/>
                <w:szCs w:val="20"/>
                <w:highlight w:val="none"/>
                <w:lang w:val="en-US" w:eastAsia="zh-CN" w:bidi="ar"/>
              </w:rPr>
              <w:t>局大气处，福州市生态环境保护综合执法支队，福州市长乐生态环境局，福建省冶金工业设计院有限公司。</w:t>
            </w:r>
          </w:p>
        </w:tc>
      </w:tr>
      <w:tr w14:paraId="4D5C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040" w:type="dxa"/>
            <w:gridSpan w:val="2"/>
            <w:tcBorders>
              <w:top w:val="single" w:color="auto" w:sz="4" w:space="0"/>
              <w:left w:val="nil"/>
              <w:bottom w:val="single" w:color="auto" w:sz="4" w:space="0"/>
              <w:right w:val="nil"/>
            </w:tcBorders>
            <w:shd w:val="clear" w:color="auto" w:fill="auto"/>
            <w:vAlign w:val="center"/>
          </w:tcPr>
          <w:p w14:paraId="7DE735A7">
            <w:pPr>
              <w:keepNext w:val="0"/>
              <w:keepLines w:val="0"/>
              <w:pageBreakBefore w:val="0"/>
              <w:widowControl w:val="0"/>
              <w:suppressLineNumbers w:val="0"/>
              <w:tabs>
                <w:tab w:val="left" w:pos="3885"/>
              </w:tabs>
              <w:kinsoku/>
              <w:overflowPunct/>
              <w:topLinePunct w:val="0"/>
              <w:autoSpaceDE/>
              <w:autoSpaceDN/>
              <w:bidi w:val="0"/>
              <w:adjustRightInd/>
              <w:spacing w:before="0" w:beforeAutospacing="0" w:after="0" w:afterAutospacing="0" w:line="560" w:lineRule="exact"/>
              <w:ind w:left="0" w:right="0" w:firstLine="179" w:firstLineChars="64"/>
              <w:jc w:val="both"/>
              <w:textAlignment w:val="auto"/>
              <w:rPr>
                <w:rFonts w:eastAsia="仿宋_GB2312"/>
                <w:sz w:val="28"/>
                <w:szCs w:val="28"/>
                <w:highlight w:val="none"/>
                <w:lang w:val="en-US"/>
              </w:rPr>
            </w:pPr>
            <w:r>
              <w:rPr>
                <w:rFonts w:hint="eastAsia" w:ascii="仿宋_GB2312" w:hAnsi="Times New Roman" w:eastAsia="仿宋_GB2312" w:cs="仿宋_GB2312"/>
                <w:kern w:val="2"/>
                <w:sz w:val="28"/>
                <w:szCs w:val="28"/>
                <w:highlight w:val="none"/>
                <w:lang w:val="en-US" w:eastAsia="zh-CN" w:bidi="ar"/>
              </w:rPr>
              <w:t>福州市生态环境局</w:t>
            </w:r>
          </w:p>
        </w:tc>
        <w:tc>
          <w:tcPr>
            <w:tcW w:w="3675" w:type="dxa"/>
            <w:tcBorders>
              <w:top w:val="single" w:color="auto" w:sz="4" w:space="0"/>
              <w:left w:val="nil"/>
              <w:bottom w:val="single" w:color="auto" w:sz="4" w:space="0"/>
              <w:right w:val="nil"/>
            </w:tcBorders>
            <w:shd w:val="clear" w:color="auto" w:fill="auto"/>
            <w:vAlign w:val="center"/>
          </w:tcPr>
          <w:p w14:paraId="7E0BB6DF">
            <w:pPr>
              <w:keepNext w:val="0"/>
              <w:keepLines w:val="0"/>
              <w:pageBreakBefore w:val="0"/>
              <w:widowControl w:val="0"/>
              <w:suppressLineNumbers w:val="0"/>
              <w:tabs>
                <w:tab w:val="left" w:pos="3882"/>
                <w:tab w:val="left" w:pos="3987"/>
              </w:tabs>
              <w:kinsoku/>
              <w:overflowPunct/>
              <w:topLinePunct w:val="0"/>
              <w:autoSpaceDE/>
              <w:autoSpaceDN/>
              <w:bidi w:val="0"/>
              <w:adjustRightInd/>
              <w:spacing w:before="0" w:beforeAutospacing="0" w:after="0" w:afterAutospacing="0" w:line="560" w:lineRule="exact"/>
              <w:ind w:left="0" w:right="311" w:rightChars="148"/>
              <w:jc w:val="right"/>
              <w:textAlignment w:val="auto"/>
              <w:rPr>
                <w:rFonts w:eastAsia="仿宋_GB2312"/>
                <w:sz w:val="28"/>
                <w:szCs w:val="28"/>
                <w:highlight w:val="none"/>
                <w:lang w:val="en-US"/>
              </w:rPr>
            </w:pPr>
            <w:r>
              <w:rPr>
                <w:rFonts w:hint="eastAsia" w:ascii="仿宋_GB2312" w:hAnsi="Times New Roman" w:eastAsia="仿宋_GB2312" w:cs="仿宋_GB2312"/>
                <w:kern w:val="2"/>
                <w:sz w:val="28"/>
                <w:szCs w:val="28"/>
                <w:highlight w:val="none"/>
                <w:lang w:val="en-US" w:eastAsia="zh-CN" w:bidi="ar"/>
              </w:rPr>
              <w:t>2026年6月26</w:t>
            </w:r>
            <w:bookmarkStart w:id="0" w:name="_GoBack"/>
            <w:bookmarkEnd w:id="0"/>
            <w:r>
              <w:rPr>
                <w:rFonts w:hint="eastAsia" w:ascii="仿宋_GB2312" w:hAnsi="Times New Roman" w:eastAsia="仿宋_GB2312" w:cs="仿宋_GB2312"/>
                <w:kern w:val="2"/>
                <w:sz w:val="28"/>
                <w:szCs w:val="28"/>
                <w:highlight w:val="none"/>
                <w:lang w:val="en-US" w:eastAsia="zh-CN" w:bidi="ar"/>
              </w:rPr>
              <w:t>日印发</w:t>
            </w:r>
          </w:p>
        </w:tc>
      </w:tr>
    </w:tbl>
    <w:p w14:paraId="0DFF8507">
      <w:pPr>
        <w:keepNext w:val="0"/>
        <w:keepLines w:val="0"/>
        <w:pageBreakBefore w:val="0"/>
        <w:kinsoku/>
        <w:overflowPunct/>
        <w:topLinePunct w:val="0"/>
        <w:autoSpaceDE/>
        <w:autoSpaceDN/>
        <w:bidi w:val="0"/>
        <w:adjustRightInd/>
        <w:spacing w:line="560" w:lineRule="exact"/>
        <w:textAlignment w:val="auto"/>
        <w:rPr>
          <w:highlight w:val="none"/>
        </w:rPr>
      </w:pPr>
    </w:p>
    <w:sectPr>
      <w:footerReference r:id="rId3" w:type="default"/>
      <w:pgSz w:w="11906" w:h="16838"/>
      <w:pgMar w:top="1701" w:right="1587" w:bottom="1417"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6775C109-1018-4E8E-8A50-0FCEDBC7B59D}"/>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395B8746-DD31-4424-BE20-85262973D5E0}"/>
  </w:font>
  <w:font w:name="长城小标宋体">
    <w:altName w:val="宋体"/>
    <w:panose1 w:val="02010609010101010101"/>
    <w:charset w:val="86"/>
    <w:family w:val="auto"/>
    <w:pitch w:val="default"/>
    <w:sig w:usb0="00000000" w:usb1="00000000" w:usb2="00000000" w:usb3="00000000" w:csb0="00000000" w:csb1="00000000"/>
    <w:embedRegular r:id="rId3" w:fontKey="{89D08060-0B10-4FB9-8D89-9C603978B7D3}"/>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576D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0DFF2">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30DFF2">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0E5361"/>
    <w:multiLevelType w:val="singleLevel"/>
    <w:tmpl w:val="2B0E5361"/>
    <w:lvl w:ilvl="0" w:tentative="0">
      <w:start w:val="2"/>
      <w:numFmt w:val="chineseCounting"/>
      <w:suff w:val="nothing"/>
      <w:lvlText w:val="%1、"/>
      <w:lvlJc w:val="left"/>
      <w:rPr>
        <w:rFonts w:hint="eastAsia"/>
      </w:rPr>
    </w:lvl>
  </w:abstractNum>
  <w:abstractNum w:abstractNumId="1">
    <w:nsid w:val="2DF32EE2"/>
    <w:multiLevelType w:val="singleLevel"/>
    <w:tmpl w:val="2DF32EE2"/>
    <w:lvl w:ilvl="0" w:tentative="0">
      <w:start w:val="1"/>
      <w:numFmt w:val="chineseCounting"/>
      <w:suff w:val="nothing"/>
      <w:lvlText w:val="%1、"/>
      <w:lvlJc w:val="left"/>
      <w:rPr>
        <w:rFonts w:hint="eastAsia"/>
      </w:rPr>
    </w:lvl>
  </w:abstractNum>
  <w:abstractNum w:abstractNumId="2">
    <w:nsid w:val="50656F0D"/>
    <w:multiLevelType w:val="singleLevel"/>
    <w:tmpl w:val="50656F0D"/>
    <w:lvl w:ilvl="0" w:tentative="0">
      <w:start w:val="2"/>
      <w:numFmt w:val="chineseCounting"/>
      <w:suff w:val="nothing"/>
      <w:lvlText w:val="（%1）"/>
      <w:lvlJc w:val="left"/>
      <w:rPr>
        <w:rFonts w:hint="eastAsia"/>
        <w:color w:val="auto"/>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wMmU4YmM1MTQ3ZDUyOWQxMDA5OGU4MmQ5YTNiMDAifQ=="/>
  </w:docVars>
  <w:rsids>
    <w:rsidRoot w:val="2A7F762B"/>
    <w:rsid w:val="014F132C"/>
    <w:rsid w:val="01DD6FC1"/>
    <w:rsid w:val="0219705A"/>
    <w:rsid w:val="036A0100"/>
    <w:rsid w:val="03CC5678"/>
    <w:rsid w:val="04AF4C9A"/>
    <w:rsid w:val="06CF3FDF"/>
    <w:rsid w:val="076B63F8"/>
    <w:rsid w:val="07B76A03"/>
    <w:rsid w:val="08877123"/>
    <w:rsid w:val="097912D2"/>
    <w:rsid w:val="0A0259D4"/>
    <w:rsid w:val="0A537496"/>
    <w:rsid w:val="0A7B2C42"/>
    <w:rsid w:val="0EBC0E2F"/>
    <w:rsid w:val="100F211B"/>
    <w:rsid w:val="10136E80"/>
    <w:rsid w:val="113463D6"/>
    <w:rsid w:val="11B15CE9"/>
    <w:rsid w:val="123E696C"/>
    <w:rsid w:val="12D0457D"/>
    <w:rsid w:val="1339568F"/>
    <w:rsid w:val="13941148"/>
    <w:rsid w:val="155C0219"/>
    <w:rsid w:val="15B63938"/>
    <w:rsid w:val="16C049E6"/>
    <w:rsid w:val="17376763"/>
    <w:rsid w:val="173A433D"/>
    <w:rsid w:val="17C02571"/>
    <w:rsid w:val="185C0C0F"/>
    <w:rsid w:val="196B1FA1"/>
    <w:rsid w:val="1A07082D"/>
    <w:rsid w:val="1A2D6D57"/>
    <w:rsid w:val="1B4951C6"/>
    <w:rsid w:val="1DB55799"/>
    <w:rsid w:val="1F150FC2"/>
    <w:rsid w:val="206F432B"/>
    <w:rsid w:val="20835F2C"/>
    <w:rsid w:val="20995339"/>
    <w:rsid w:val="213F3844"/>
    <w:rsid w:val="219278A5"/>
    <w:rsid w:val="23C62B8E"/>
    <w:rsid w:val="23D1267C"/>
    <w:rsid w:val="25B53634"/>
    <w:rsid w:val="264F7B2D"/>
    <w:rsid w:val="26F17F87"/>
    <w:rsid w:val="26FA4A88"/>
    <w:rsid w:val="27CD3CFC"/>
    <w:rsid w:val="28A86FC8"/>
    <w:rsid w:val="28D4370D"/>
    <w:rsid w:val="291E30E3"/>
    <w:rsid w:val="2A7F762B"/>
    <w:rsid w:val="2AEA737B"/>
    <w:rsid w:val="2CAD0908"/>
    <w:rsid w:val="2D2F4B41"/>
    <w:rsid w:val="2E214D74"/>
    <w:rsid w:val="2E831059"/>
    <w:rsid w:val="2F652F3C"/>
    <w:rsid w:val="31DF7D29"/>
    <w:rsid w:val="32432891"/>
    <w:rsid w:val="32781451"/>
    <w:rsid w:val="33B4282D"/>
    <w:rsid w:val="344B15E7"/>
    <w:rsid w:val="34565CE1"/>
    <w:rsid w:val="34B92A27"/>
    <w:rsid w:val="35873A69"/>
    <w:rsid w:val="379F27DC"/>
    <w:rsid w:val="38FC70C7"/>
    <w:rsid w:val="396A64FB"/>
    <w:rsid w:val="3B7B6102"/>
    <w:rsid w:val="3C461732"/>
    <w:rsid w:val="3DB945F5"/>
    <w:rsid w:val="402C102B"/>
    <w:rsid w:val="407707ED"/>
    <w:rsid w:val="418125DF"/>
    <w:rsid w:val="438B4B5B"/>
    <w:rsid w:val="43CA10AF"/>
    <w:rsid w:val="45314B84"/>
    <w:rsid w:val="47C411B6"/>
    <w:rsid w:val="49203E9F"/>
    <w:rsid w:val="49641AB4"/>
    <w:rsid w:val="4A69668E"/>
    <w:rsid w:val="4A810DC1"/>
    <w:rsid w:val="4B456184"/>
    <w:rsid w:val="4B997BD4"/>
    <w:rsid w:val="4BC03622"/>
    <w:rsid w:val="4CD339FE"/>
    <w:rsid w:val="4CF33D4B"/>
    <w:rsid w:val="4DB67CDD"/>
    <w:rsid w:val="4E576091"/>
    <w:rsid w:val="4ED8662B"/>
    <w:rsid w:val="4EFF7D3E"/>
    <w:rsid w:val="52232427"/>
    <w:rsid w:val="5328504E"/>
    <w:rsid w:val="545C3B2A"/>
    <w:rsid w:val="56CE1F14"/>
    <w:rsid w:val="56D6723A"/>
    <w:rsid w:val="56DD30D8"/>
    <w:rsid w:val="56FA33C7"/>
    <w:rsid w:val="570F789F"/>
    <w:rsid w:val="5773682D"/>
    <w:rsid w:val="584615A8"/>
    <w:rsid w:val="59790483"/>
    <w:rsid w:val="5AB30E80"/>
    <w:rsid w:val="5D8466D6"/>
    <w:rsid w:val="5E49718B"/>
    <w:rsid w:val="5EA54C48"/>
    <w:rsid w:val="610D1793"/>
    <w:rsid w:val="61464082"/>
    <w:rsid w:val="61AC3705"/>
    <w:rsid w:val="61BD2347"/>
    <w:rsid w:val="635B63B9"/>
    <w:rsid w:val="65DF40DE"/>
    <w:rsid w:val="674F436D"/>
    <w:rsid w:val="676676DF"/>
    <w:rsid w:val="68761C07"/>
    <w:rsid w:val="69AA484A"/>
    <w:rsid w:val="6C2A2F12"/>
    <w:rsid w:val="6C2B2518"/>
    <w:rsid w:val="6C524909"/>
    <w:rsid w:val="6CA5599E"/>
    <w:rsid w:val="6D0A06B5"/>
    <w:rsid w:val="6D8945FB"/>
    <w:rsid w:val="6E6E2E44"/>
    <w:rsid w:val="6F460731"/>
    <w:rsid w:val="701E40D7"/>
    <w:rsid w:val="731146F1"/>
    <w:rsid w:val="73F3130E"/>
    <w:rsid w:val="746A60D2"/>
    <w:rsid w:val="749C56FE"/>
    <w:rsid w:val="75053496"/>
    <w:rsid w:val="75F77103"/>
    <w:rsid w:val="76CA152F"/>
    <w:rsid w:val="783B4C00"/>
    <w:rsid w:val="79E52F74"/>
    <w:rsid w:val="7B3A573B"/>
    <w:rsid w:val="7C031292"/>
    <w:rsid w:val="7C145F64"/>
    <w:rsid w:val="7CC80452"/>
    <w:rsid w:val="7CD13E7A"/>
    <w:rsid w:val="7CDA4005"/>
    <w:rsid w:val="7FA07AD8"/>
    <w:rsid w:val="7FD340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line="420" w:lineRule="exact"/>
      <w:ind w:left="0" w:leftChars="0" w:firstLine="420"/>
    </w:pPr>
    <w:rPr>
      <w:rFonts w:ascii="仿宋_GB2312" w:eastAsia="Times New Roman"/>
      <w:sz w:val="24"/>
    </w:rPr>
  </w:style>
  <w:style w:type="paragraph" w:styleId="3">
    <w:name w:val="Body Text Indent"/>
    <w:basedOn w:val="1"/>
    <w:next w:val="4"/>
    <w:unhideWhenUsed/>
    <w:qFormat/>
    <w:uiPriority w:val="0"/>
    <w:pPr>
      <w:spacing w:after="120"/>
      <w:ind w:left="420" w:leftChars="200"/>
    </w:pPr>
  </w:style>
  <w:style w:type="paragraph" w:customStyle="1" w:styleId="4">
    <w:name w:val="样式 正文文本缩进 + 行距: 1.5 倍行距"/>
    <w:basedOn w:val="1"/>
    <w:qFormat/>
    <w:uiPriority w:val="0"/>
    <w:pPr>
      <w:spacing w:after="120"/>
      <w:ind w:left="90" w:leftChars="32" w:firstLine="560"/>
    </w:pPr>
    <w:rPr>
      <w:rFonts w:cs="宋体"/>
    </w:rPr>
  </w:style>
  <w:style w:type="paragraph" w:styleId="6">
    <w:name w:val="toc 7"/>
    <w:basedOn w:val="1"/>
    <w:next w:val="1"/>
    <w:qFormat/>
    <w:uiPriority w:val="0"/>
    <w:pPr>
      <w:widowControl w:val="0"/>
      <w:adjustRightInd w:val="0"/>
      <w:snapToGrid w:val="0"/>
      <w:ind w:left="2520" w:leftChars="1200"/>
      <w:jc w:val="both"/>
    </w:pPr>
    <w:rPr>
      <w:kern w:val="2"/>
      <w:sz w:val="21"/>
      <w:szCs w:val="24"/>
    </w:rPr>
  </w:style>
  <w:style w:type="paragraph" w:styleId="7">
    <w:name w:val="annotation text"/>
    <w:basedOn w:val="1"/>
    <w:qFormat/>
    <w:uiPriority w:val="0"/>
    <w:pPr>
      <w:jc w:val="left"/>
    </w:pPr>
  </w:style>
  <w:style w:type="paragraph" w:styleId="8">
    <w:name w:val="Body Text"/>
    <w:basedOn w:val="1"/>
    <w:next w:val="1"/>
    <w:qFormat/>
    <w:uiPriority w:val="0"/>
    <w:pPr>
      <w:spacing w:after="120"/>
    </w:pPr>
  </w:style>
  <w:style w:type="paragraph" w:styleId="9">
    <w:name w:val="Date"/>
    <w:basedOn w:val="1"/>
    <w:next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楷体_GB2312" w:cs="Times New Roman"/>
      <w:kern w:val="2"/>
      <w:sz w:val="32"/>
      <w:szCs w:val="20"/>
      <w:lang w:val="en-US" w:eastAsia="zh-CN" w:bidi="ar"/>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character" w:styleId="18">
    <w:name w:val="annotation reference"/>
    <w:basedOn w:val="15"/>
    <w:qFormat/>
    <w:uiPriority w:val="0"/>
    <w:rPr>
      <w:sz w:val="21"/>
      <w:szCs w:val="21"/>
    </w:rPr>
  </w:style>
  <w:style w:type="paragraph" w:customStyle="1" w:styleId="19">
    <w:name w:val="Default"/>
    <w:basedOn w:val="20"/>
    <w:next w:val="6"/>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0">
    <w:name w:val="a四级标题"/>
    <w:basedOn w:val="1"/>
    <w:qFormat/>
    <w:uiPriority w:val="0"/>
    <w:pPr>
      <w:spacing w:line="360" w:lineRule="auto"/>
    </w:pPr>
    <w:rPr>
      <w:b/>
    </w:rPr>
  </w:style>
  <w:style w:type="paragraph" w:customStyle="1" w:styleId="21">
    <w:name w:val="样式 正文文本缩进 + 宋体 小四 居中 行距: 固定值 23 磅1"/>
    <w:basedOn w:val="1"/>
    <w:qFormat/>
    <w:uiPriority w:val="0"/>
    <w:pPr>
      <w:spacing w:line="460" w:lineRule="exact"/>
      <w:ind w:left="-181" w:leftChars="-86"/>
    </w:pPr>
    <w:rPr>
      <w:rFonts w:ascii="宋体" w:hAnsi="宋体" w:cs="宋体"/>
      <w:color w:val="000000"/>
    </w:rPr>
  </w:style>
  <w:style w:type="character" w:customStyle="1" w:styleId="22">
    <w:name w:val="5文章(治) Char"/>
    <w:basedOn w:val="15"/>
    <w:qFormat/>
    <w:uiPriority w:val="0"/>
    <w:rPr>
      <w:rFonts w:hint="eastAsia" w:ascii="楷体_GB2312" w:eastAsia="楷体_GB2312" w:cs="楷体_GB2312"/>
      <w:kern w:val="2"/>
      <w:sz w:val="28"/>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1895</Words>
  <Characters>2079</Characters>
  <Lines>0</Lines>
  <Paragraphs>0</Paragraphs>
  <TotalTime>3</TotalTime>
  <ScaleCrop>false</ScaleCrop>
  <LinksUpToDate>false</LinksUpToDate>
  <CharactersWithSpaces>2081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2016-03-09T02:21:00Z</dcterms:created>
  <dc:creator>Yuri</dc:creator>
  <cp:lastModifiedBy>月见函灯</cp:lastModifiedBy>
  <cp:lastPrinted>2025-04-21T09:18:00Z</cp:lastPrinted>
  <dcterms:modified xsi:type="dcterms:W3CDTF">2026-06-26T06:47:42Z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CA988F65487F4109B908F2F112B595DB_13</vt:lpwstr>
  </property>
  <property fmtid="{D5CDD505-2E9C-101B-9397-08002B2CF9AE}" pid="4" name="KSOTemplateDocerSaveRecord">
    <vt:lpwstr>eyJoZGlkIjoiMDkxNDM5NTI3YTI2MzU0NTA3MzliODM2N2FlYTc2NjYiLCJ1c2VySWQiOiI0MjM3NjMwNzUifQ==</vt:lpwstr>
  </property>
</Properties>
</file>