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9C88A5">
      <w:pPr>
        <w:keepNext w:val="0"/>
        <w:keepLines w:val="0"/>
        <w:pageBreakBefore w:val="0"/>
        <w:kinsoku/>
        <w:overflowPunct/>
        <w:topLinePunct w:val="0"/>
        <w:autoSpaceDE/>
        <w:autoSpaceDN/>
        <w:bidi w:val="0"/>
        <w:adjustRightInd/>
        <w:spacing w:before="1400" w:afterAutospacing="0" w:line="500" w:lineRule="exact"/>
        <w:ind w:right="250" w:rightChars="119"/>
        <w:jc w:val="right"/>
        <w:textAlignment w:val="auto"/>
        <w:rPr>
          <w:rFonts w:hint="eastAsia" w:ascii="方正小标宋简体" w:hAnsi="方正小标宋简体" w:eastAsia="方正小标宋简体" w:cs="方正小标宋简体"/>
          <w:sz w:val="44"/>
          <w:szCs w:val="44"/>
        </w:rPr>
      </w:pPr>
      <w:r>
        <w:rPr>
          <w:rFonts w:hint="eastAsia" w:ascii="仿宋_GB2312" w:eastAsia="仿宋_GB2312"/>
          <w:color w:val="auto"/>
          <w:sz w:val="32"/>
          <w:szCs w:val="32"/>
          <w:highlight w:val="none"/>
        </w:rPr>
        <w:t>榕环评〔202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55</w:t>
      </w:r>
      <w:r>
        <w:rPr>
          <w:rFonts w:hint="eastAsia" w:ascii="仿宋_GB2312" w:eastAsia="仿宋_GB2312"/>
          <w:color w:val="auto"/>
          <w:sz w:val="32"/>
          <w:szCs w:val="32"/>
          <w:highlight w:val="none"/>
        </w:rPr>
        <w:t>号</w:t>
      </w:r>
    </w:p>
    <w:p w14:paraId="5398B7FF">
      <w:pPr>
        <w:keepNext w:val="0"/>
        <w:keepLines w:val="0"/>
        <w:pageBreakBefore w:val="0"/>
        <w:kinsoku/>
        <w:wordWrap/>
        <w:overflowPunct/>
        <w:topLinePunct w:val="0"/>
        <w:autoSpaceDE w:val="0"/>
        <w:autoSpaceDN w:val="0"/>
        <w:bidi w:val="0"/>
        <w:adjustRightInd w:val="0"/>
        <w:spacing w:line="560" w:lineRule="exact"/>
        <w:jc w:val="center"/>
        <w:textAlignment w:val="auto"/>
        <w:rPr>
          <w:rFonts w:hint="eastAsia" w:ascii="方正小标宋简体" w:hAnsi="方正小标宋简体" w:eastAsia="方正小标宋简体" w:cs="方正小标宋简体"/>
          <w:sz w:val="44"/>
          <w:szCs w:val="44"/>
        </w:rPr>
      </w:pPr>
    </w:p>
    <w:p w14:paraId="58313C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福州市生态环境局关于福州江阴港城经济区高港大道北段道路工程项目环境影响</w:t>
      </w:r>
    </w:p>
    <w:p w14:paraId="6744F3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报告书的</w:t>
      </w:r>
      <w:r>
        <w:rPr>
          <w:rFonts w:hint="eastAsia" w:ascii="方正小标宋简体" w:hAnsi="方正小标宋简体" w:eastAsia="方正小标宋简体" w:cs="方正小标宋简体"/>
          <w:b w:val="0"/>
          <w:bCs w:val="0"/>
          <w:sz w:val="44"/>
          <w:szCs w:val="44"/>
          <w:lang w:val="en-US" w:eastAsia="zh-CN"/>
        </w:rPr>
        <w:t>审批</w:t>
      </w:r>
      <w:r>
        <w:rPr>
          <w:rFonts w:hint="eastAsia" w:ascii="方正小标宋简体" w:hAnsi="方正小标宋简体" w:eastAsia="方正小标宋简体" w:cs="方正小标宋简体"/>
          <w:b w:val="0"/>
          <w:bCs w:val="0"/>
          <w:sz w:val="44"/>
          <w:szCs w:val="44"/>
        </w:rPr>
        <w:t>意见</w:t>
      </w:r>
    </w:p>
    <w:p w14:paraId="1B58F816">
      <w:pPr>
        <w:rPr>
          <w:rFonts w:ascii="仿宋_GB2312" w:eastAsia="仿宋_GB2312"/>
          <w:sz w:val="32"/>
          <w:szCs w:val="32"/>
        </w:rPr>
      </w:pPr>
    </w:p>
    <w:p w14:paraId="1B34C300">
      <w:pPr>
        <w:keepNext w:val="0"/>
        <w:keepLines w:val="0"/>
        <w:pageBreakBefore w:val="0"/>
        <w:widowControl w:val="0"/>
        <w:kinsoku/>
        <w:wordWrap/>
        <w:overflowPunct/>
        <w:topLinePunct w:val="0"/>
        <w:autoSpaceDE/>
        <w:autoSpaceDN/>
        <w:bidi w:val="0"/>
        <w:adjustRightInd/>
        <w:snapToGrid/>
        <w:spacing w:beforeAutospacing="0" w:afterAutospacing="0" w:line="540" w:lineRule="exact"/>
        <w:textAlignment w:val="auto"/>
        <w:rPr>
          <w:rFonts w:ascii="仿宋_GB2312" w:eastAsia="仿宋_GB2312"/>
          <w:sz w:val="32"/>
          <w:szCs w:val="32"/>
        </w:rPr>
      </w:pPr>
      <w:r>
        <w:rPr>
          <w:rFonts w:hint="eastAsia" w:ascii="仿宋_GB2312" w:eastAsia="仿宋_GB2312"/>
          <w:sz w:val="32"/>
          <w:szCs w:val="32"/>
        </w:rPr>
        <w:t>福州市江阴工业区开发建设有限公司：</w:t>
      </w:r>
    </w:p>
    <w:p w14:paraId="3D626214">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你司</w:t>
      </w:r>
      <w:r>
        <w:rPr>
          <w:rFonts w:hint="eastAsia" w:ascii="仿宋_GB2312" w:eastAsia="仿宋_GB2312"/>
          <w:sz w:val="32"/>
          <w:szCs w:val="32"/>
        </w:rPr>
        <w:t>《</w:t>
      </w:r>
      <w:r>
        <w:rPr>
          <w:rFonts w:hint="eastAsia" w:ascii="仿宋_GB2312" w:hAnsi="仿宋_GB2312" w:eastAsia="仿宋_GB2312" w:cs="仿宋_GB2312"/>
          <w:bCs/>
          <w:color w:val="auto"/>
          <w:sz w:val="32"/>
          <w:szCs w:val="32"/>
          <w:highlight w:val="none"/>
          <w:lang w:eastAsia="zh-CN"/>
        </w:rPr>
        <w:t>福州江阴港城经济区高港大道北段道路工程项目</w:t>
      </w:r>
      <w:r>
        <w:rPr>
          <w:rFonts w:hint="eastAsia" w:ascii="仿宋_GB2312" w:eastAsia="仿宋_GB2312"/>
          <w:sz w:val="32"/>
          <w:szCs w:val="32"/>
        </w:rPr>
        <w:t>环境影响报告书（报批本）》(以下简称《报告书》)</w:t>
      </w:r>
      <w:r>
        <w:rPr>
          <w:rFonts w:hint="eastAsia" w:ascii="仿宋_GB2312" w:eastAsia="仿宋_GB2312"/>
          <w:sz w:val="32"/>
          <w:szCs w:val="32"/>
          <w:lang w:val="en-US" w:eastAsia="zh-CN"/>
        </w:rPr>
        <w:t>及申请审批的报告</w:t>
      </w:r>
      <w:r>
        <w:rPr>
          <w:rFonts w:hint="eastAsia" w:ascii="仿宋_GB2312" w:eastAsia="仿宋_GB2312"/>
          <w:bCs/>
          <w:sz w:val="32"/>
          <w:szCs w:val="32"/>
        </w:rPr>
        <w:t>收悉</w:t>
      </w:r>
      <w:r>
        <w:rPr>
          <w:rFonts w:hint="eastAsia" w:ascii="仿宋_GB2312" w:eastAsia="仿宋_GB2312"/>
          <w:sz w:val="32"/>
          <w:szCs w:val="32"/>
        </w:rPr>
        <w:t>。</w:t>
      </w:r>
      <w:r>
        <w:rPr>
          <w:rFonts w:hint="eastAsia" w:ascii="仿宋_GB2312" w:eastAsia="仿宋_GB2312"/>
          <w:color w:val="auto"/>
          <w:sz w:val="32"/>
          <w:szCs w:val="32"/>
          <w:highlight w:val="none"/>
          <w:lang w:val="en-US" w:eastAsia="zh-CN"/>
        </w:rPr>
        <w:t>根据《中华人民共和国环境影响评价法》第二十二条等规定，经组织技术审查，并征求福州市福清生态环境局意见，现提出审批意见如下</w:t>
      </w:r>
      <w:r>
        <w:rPr>
          <w:rFonts w:hint="eastAsia" w:ascii="仿宋_GB2312" w:eastAsia="仿宋_GB2312"/>
          <w:sz w:val="32"/>
          <w:szCs w:val="32"/>
        </w:rPr>
        <w:t>：</w:t>
      </w:r>
    </w:p>
    <w:p w14:paraId="6BF08879">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仿宋_GB2312" w:hAnsi="宋体" w:eastAsia="仿宋_GB2312"/>
          <w:color w:val="FF0000"/>
          <w:sz w:val="32"/>
          <w:szCs w:val="32"/>
          <w:highlight w:val="none"/>
          <w:lang w:val="en-US" w:eastAsia="zh-CN"/>
        </w:rPr>
      </w:pPr>
      <w:r>
        <w:rPr>
          <w:rFonts w:hint="eastAsia" w:ascii="仿宋_GB2312" w:hAnsi="宋体" w:eastAsia="仿宋_GB2312"/>
          <w:sz w:val="32"/>
          <w:szCs w:val="32"/>
          <w:highlight w:val="none"/>
        </w:rPr>
        <w:t>一、</w:t>
      </w:r>
      <w:r>
        <w:rPr>
          <w:rFonts w:hint="eastAsia" w:ascii="仿宋_GB2312" w:hAnsi="仿宋_GB2312" w:eastAsia="仿宋_GB2312" w:cs="仿宋_GB2312"/>
          <w:bCs/>
          <w:color w:val="auto"/>
          <w:sz w:val="32"/>
          <w:szCs w:val="32"/>
          <w:highlight w:val="none"/>
          <w:lang w:eastAsia="zh-CN"/>
        </w:rPr>
        <w:t>福州江阴港城经济区高港大道北段道路工程项目</w:t>
      </w:r>
      <w:r>
        <w:rPr>
          <w:rFonts w:hint="eastAsia" w:ascii="仿宋_GB2312" w:hAnsi="宋体" w:eastAsia="仿宋_GB2312"/>
          <w:sz w:val="32"/>
          <w:szCs w:val="32"/>
          <w:highlight w:val="none"/>
        </w:rPr>
        <w:t>位于福州江阴港城经济区</w:t>
      </w:r>
      <w:r>
        <w:rPr>
          <w:rFonts w:hint="eastAsia" w:ascii="仿宋_GB2312" w:hAnsi="宋体" w:eastAsia="仿宋_GB2312"/>
          <w:sz w:val="32"/>
          <w:szCs w:val="32"/>
          <w:highlight w:val="none"/>
          <w:lang w:eastAsia="zh-CN"/>
        </w:rPr>
        <w:t>，起点位于江阴港城经济区南渚头村，终点</w:t>
      </w:r>
      <w:r>
        <w:rPr>
          <w:rFonts w:hint="eastAsia" w:ascii="仿宋_GB2312" w:hAnsi="宋体" w:eastAsia="仿宋_GB2312"/>
          <w:sz w:val="32"/>
          <w:szCs w:val="32"/>
          <w:highlight w:val="none"/>
          <w:lang w:val="en-US" w:eastAsia="zh-CN"/>
        </w:rPr>
        <w:t>至</w:t>
      </w:r>
      <w:r>
        <w:rPr>
          <w:rFonts w:hint="eastAsia" w:ascii="仿宋_GB2312" w:hAnsi="宋体" w:eastAsia="仿宋_GB2312"/>
          <w:sz w:val="32"/>
          <w:szCs w:val="32"/>
          <w:highlight w:val="none"/>
          <w:lang w:eastAsia="zh-CN"/>
        </w:rPr>
        <w:t>228线（福清江阴莆头至孙卓段）相交。</w:t>
      </w:r>
      <w:r>
        <w:rPr>
          <w:rFonts w:hint="eastAsia" w:ascii="仿宋_GB2312" w:hAnsi="宋体" w:eastAsia="仿宋_GB2312"/>
          <w:sz w:val="32"/>
          <w:szCs w:val="32"/>
          <w:highlight w:val="none"/>
          <w:lang w:val="en-US" w:eastAsia="zh-CN"/>
        </w:rPr>
        <w:t>新建一级公路，沥青混凝土路面，</w:t>
      </w:r>
      <w:r>
        <w:rPr>
          <w:rFonts w:hint="eastAsia" w:ascii="仿宋_GB2312" w:hAnsi="宋体" w:eastAsia="仿宋_GB2312"/>
          <w:sz w:val="32"/>
          <w:szCs w:val="32"/>
          <w:highlight w:val="none"/>
          <w:lang w:eastAsia="zh-CN"/>
        </w:rPr>
        <w:t>线路全长4396</w:t>
      </w:r>
      <w:r>
        <w:rPr>
          <w:rFonts w:hint="eastAsia" w:ascii="仿宋_GB2312" w:hAnsi="宋体" w:eastAsia="仿宋_GB2312"/>
          <w:sz w:val="32"/>
          <w:szCs w:val="32"/>
          <w:highlight w:val="none"/>
          <w:lang w:val="en-US" w:eastAsia="zh-CN"/>
        </w:rPr>
        <w:t>米</w:t>
      </w:r>
      <w:r>
        <w:rPr>
          <w:rFonts w:hint="eastAsia" w:ascii="仿宋_GB2312" w:hAnsi="宋体" w:eastAsia="仿宋_GB2312"/>
          <w:sz w:val="32"/>
          <w:szCs w:val="32"/>
          <w:highlight w:val="none"/>
          <w:lang w:eastAsia="zh-CN"/>
        </w:rPr>
        <w:t>，双向六车道，路基宽度为33.5米。</w:t>
      </w:r>
    </w:p>
    <w:p w14:paraId="787DD145">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_GB2312" w:hAnsi="宋体" w:eastAsia="仿宋_GB2312"/>
          <w:color w:val="auto"/>
          <w:sz w:val="32"/>
          <w:szCs w:val="32"/>
          <w:highlight w:val="none"/>
        </w:rPr>
      </w:pPr>
      <w:r>
        <w:rPr>
          <w:rFonts w:hint="eastAsia" w:ascii="仿宋_GB2312" w:hAnsi="宋体" w:eastAsia="仿宋_GB2312"/>
          <w:sz w:val="32"/>
          <w:szCs w:val="32"/>
          <w:highlight w:val="none"/>
        </w:rPr>
        <w:t>根据《报告书》评价结论</w:t>
      </w:r>
      <w:r>
        <w:rPr>
          <w:rFonts w:hint="eastAsia" w:ascii="仿宋_GB2312" w:hAnsi="宋体" w:eastAsia="仿宋_GB2312"/>
          <w:sz w:val="32"/>
          <w:szCs w:val="32"/>
          <w:highlight w:val="none"/>
          <w:lang w:val="en-US" w:eastAsia="zh-CN"/>
        </w:rPr>
        <w:t>和福州市环境影响评价技术中心出具的</w:t>
      </w:r>
      <w:r>
        <w:rPr>
          <w:rFonts w:hint="eastAsia" w:ascii="仿宋_GB2312" w:hAnsi="宋体" w:eastAsia="仿宋_GB2312"/>
          <w:sz w:val="32"/>
          <w:szCs w:val="32"/>
          <w:highlight w:val="none"/>
        </w:rPr>
        <w:t>技术评估</w:t>
      </w:r>
      <w:r>
        <w:rPr>
          <w:rFonts w:hint="eastAsia" w:ascii="仿宋_GB2312" w:hAnsi="宋体" w:eastAsia="仿宋_GB2312"/>
          <w:sz w:val="32"/>
          <w:szCs w:val="32"/>
          <w:highlight w:val="none"/>
          <w:lang w:val="en-US" w:eastAsia="zh-CN"/>
        </w:rPr>
        <w:t>报告</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（编号：2-2026-015）</w:t>
      </w: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该项目符合符合国家产业政策，</w:t>
      </w:r>
      <w:r>
        <w:rPr>
          <w:rFonts w:hint="default" w:ascii="Times New Roman" w:hAnsi="Times New Roman" w:eastAsia="仿宋_GB2312" w:cs="Times New Roman"/>
          <w:color w:val="auto"/>
          <w:sz w:val="32"/>
          <w:szCs w:val="32"/>
          <w:highlight w:val="none"/>
        </w:rPr>
        <w:t>符合</w:t>
      </w:r>
      <w:r>
        <w:rPr>
          <w:rFonts w:hint="eastAsia" w:ascii="Times New Roman" w:hAnsi="Times New Roman" w:eastAsia="仿宋_GB2312" w:cs="Times New Roman"/>
          <w:color w:val="auto"/>
          <w:sz w:val="32"/>
          <w:szCs w:val="32"/>
          <w:highlight w:val="none"/>
          <w:lang w:eastAsia="zh-CN"/>
        </w:rPr>
        <w:t>福州市</w:t>
      </w:r>
      <w:r>
        <w:rPr>
          <w:rFonts w:hint="default" w:ascii="Times New Roman" w:hAnsi="Times New Roman" w:eastAsia="仿宋_GB2312" w:cs="Times New Roman"/>
          <w:color w:val="auto"/>
          <w:sz w:val="32"/>
          <w:szCs w:val="32"/>
          <w:highlight w:val="none"/>
        </w:rPr>
        <w:t>生态环境分区管控等相关要求</w:t>
      </w:r>
      <w:r>
        <w:rPr>
          <w:rFonts w:hint="eastAsia" w:ascii="仿宋_GB2312" w:hAnsi="宋体" w:eastAsia="仿宋_GB2312"/>
          <w:sz w:val="32"/>
          <w:szCs w:val="32"/>
          <w:highlight w:val="none"/>
          <w:lang w:val="en-US" w:eastAsia="zh-CN"/>
        </w:rPr>
        <w:t>。在严格落实《报告书》提出的各项生态保护措施和风险防控措施，加强环境管理的前提下，从环境影响角度分析，项目建设可行。</w:t>
      </w:r>
      <w:r>
        <w:rPr>
          <w:rFonts w:hint="eastAsia" w:ascii="仿宋_GB2312" w:hAnsi="宋体" w:eastAsia="仿宋_GB2312"/>
          <w:color w:val="auto"/>
          <w:sz w:val="32"/>
          <w:szCs w:val="32"/>
          <w:highlight w:val="none"/>
          <w:lang w:val="en-US" w:eastAsia="zh-CN"/>
        </w:rPr>
        <w:t>同意项目按照《报告书》中所列的性质、规模、地点、采用的生产工艺和防治污染、防止生态破坏的措施进行建设。</w:t>
      </w:r>
    </w:p>
    <w:p w14:paraId="3504D558">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二、项目在设计、</w:t>
      </w:r>
      <w:r>
        <w:rPr>
          <w:rFonts w:hint="eastAsia" w:ascii="仿宋_GB2312" w:hAnsi="仿宋_GB2312" w:eastAsia="仿宋_GB2312" w:cs="仿宋_GB2312"/>
          <w:color w:val="auto"/>
          <w:sz w:val="32"/>
          <w:szCs w:val="32"/>
          <w:highlight w:val="none"/>
          <w:lang w:eastAsia="zh-CN"/>
        </w:rPr>
        <w:t>建设</w:t>
      </w:r>
      <w:r>
        <w:rPr>
          <w:rFonts w:hint="eastAsia" w:ascii="仿宋_GB2312" w:hAnsi="仿宋_GB2312" w:eastAsia="仿宋_GB2312" w:cs="仿宋_GB2312"/>
          <w:color w:val="auto"/>
          <w:sz w:val="32"/>
          <w:szCs w:val="32"/>
          <w:highlight w:val="none"/>
        </w:rPr>
        <w:t>和运营过程中应认真落实《报告书》提出的各项生态环境保护和</w:t>
      </w:r>
      <w:r>
        <w:rPr>
          <w:rFonts w:hint="eastAsia" w:ascii="仿宋_GB2312" w:hAnsi="仿宋_GB2312" w:eastAsia="仿宋_GB2312" w:cs="仿宋_GB2312"/>
          <w:color w:val="auto"/>
          <w:sz w:val="32"/>
          <w:szCs w:val="32"/>
          <w:highlight w:val="none"/>
          <w:lang w:eastAsia="zh-CN"/>
        </w:rPr>
        <w:t>环境</w:t>
      </w:r>
      <w:r>
        <w:rPr>
          <w:rFonts w:hint="eastAsia" w:ascii="仿宋_GB2312" w:hAnsi="仿宋_GB2312" w:eastAsia="仿宋_GB2312" w:cs="仿宋_GB2312"/>
          <w:color w:val="auto"/>
          <w:sz w:val="32"/>
          <w:szCs w:val="32"/>
          <w:highlight w:val="none"/>
        </w:rPr>
        <w:t>风险防范措施，并重点做好以下工作：</w:t>
      </w:r>
    </w:p>
    <w:p w14:paraId="03026373">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1.生态环境防治</w:t>
      </w:r>
    </w:p>
    <w:p w14:paraId="4CFCAAE1">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严格落实周边生态保护红线、基本农田等保护措施，严 禁破坏周边基本农田及生态保护红线。严格控制施工范围，施工活动应严格限制在经主管部门批准用地范围之内，不得占用生态保护红线，减少对周边生态环境、野生动物栖息、觅食环境的影响。主体工程完工后，及时对施工便道、施工场地、表土堆场和土石方中转场等临时占地进行生态恢复。</w:t>
      </w:r>
    </w:p>
    <w:p w14:paraId="39069716">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2.水污染防治</w:t>
      </w:r>
    </w:p>
    <w:p w14:paraId="6D71B0E6">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严格落实《报告书》提出的施工期和运营期的水污染防治措施，尽量减少对周边水环境的影响。施工期生活污水依托当地污水处理系统；生产废水经</w:t>
      </w:r>
      <w:r>
        <w:rPr>
          <w:rFonts w:hint="eastAsia" w:ascii="仿宋_GB2312" w:eastAsia="仿宋_GB2312"/>
          <w:color w:val="auto"/>
          <w:sz w:val="32"/>
          <w:szCs w:val="32"/>
          <w:highlight w:val="none"/>
        </w:rPr>
        <w:t>隔油沉淀</w:t>
      </w:r>
      <w:r>
        <w:rPr>
          <w:rFonts w:hint="eastAsia" w:ascii="仿宋_GB2312" w:hAnsi="仿宋_GB2312" w:eastAsia="仿宋_GB2312" w:cs="仿宋_GB2312"/>
          <w:color w:val="auto"/>
          <w:sz w:val="32"/>
          <w:szCs w:val="32"/>
          <w:highlight w:val="none"/>
          <w:lang w:val="en-US" w:eastAsia="zh-CN"/>
        </w:rPr>
        <w:t>处理后回用于</w:t>
      </w:r>
      <w:r>
        <w:rPr>
          <w:rFonts w:hint="eastAsia" w:ascii="仿宋_GB2312" w:eastAsia="仿宋_GB2312"/>
          <w:color w:val="auto"/>
          <w:sz w:val="32"/>
          <w:szCs w:val="32"/>
          <w:highlight w:val="none"/>
        </w:rPr>
        <w:t>洒水抑尘</w:t>
      </w:r>
      <w:r>
        <w:rPr>
          <w:rFonts w:hint="eastAsia" w:ascii="仿宋_GB2312" w:hAnsi="仿宋_GB2312" w:eastAsia="仿宋_GB2312" w:cs="仿宋_GB2312"/>
          <w:color w:val="auto"/>
          <w:sz w:val="32"/>
          <w:szCs w:val="32"/>
          <w:highlight w:val="none"/>
          <w:lang w:val="en-US" w:eastAsia="zh-CN"/>
        </w:rPr>
        <w:t>，不外排。</w:t>
      </w:r>
    </w:p>
    <w:p w14:paraId="4D00C0E3">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3.大气污染防治</w:t>
      </w:r>
    </w:p>
    <w:p w14:paraId="60746E02">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不设置沥青搅拌站。易扬尘作业应采取湿法，施工期加强场地道路洒水降尘，减少施工及车辆运输扬尘影响。村庄沿线的施工场地四周连续设置封闭的施工围挡，临村庄路段围挡上方设置雾化喷淋设施。加强公路的绿化带建设，减缓运营期汽车尾气对周边大气环境的影响。</w:t>
      </w:r>
    </w:p>
    <w:p w14:paraId="3A8F0922">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4.噪声污染防治</w:t>
      </w:r>
    </w:p>
    <w:p w14:paraId="18AC013E">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合理安排施工时间和布置施工场地，临近敏感建筑物的施工场地设置临时隔声围墙。</w:t>
      </w:r>
      <w:r>
        <w:rPr>
          <w:rFonts w:hint="eastAsia" w:ascii="仿宋_GB2312" w:eastAsia="仿宋_GB2312" w:cs="宋体"/>
          <w:kern w:val="0"/>
          <w:sz w:val="32"/>
          <w:szCs w:val="32"/>
          <w:highlight w:val="none"/>
          <w:lang w:val="en-US" w:eastAsia="zh-CN" w:bidi="ar"/>
        </w:rPr>
        <w:t>预测超标的声环境保护目标对应路段采取降噪措施，加强对沿线声环境敏感目标的噪声跟踪监测，并根据监测结果及时完善沿线噪声防治措施</w:t>
      </w:r>
      <w:r>
        <w:rPr>
          <w:rFonts w:hint="eastAsia" w:ascii="仿宋_GB2312" w:hAnsi="仿宋_GB2312" w:eastAsia="仿宋_GB2312" w:cs="仿宋_GB2312"/>
          <w:color w:val="auto"/>
          <w:sz w:val="32"/>
          <w:szCs w:val="32"/>
          <w:highlight w:val="none"/>
          <w:lang w:val="en-US" w:eastAsia="zh-CN"/>
        </w:rPr>
        <w:t>；提请并积极配合当地政府做好公路沿线两侧用地的规划控制，避免交通噪声对新增声环境敏感目标的噪声影响。</w:t>
      </w:r>
    </w:p>
    <w:p w14:paraId="36C92560">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5.固废污染防治</w:t>
      </w:r>
    </w:p>
    <w:p w14:paraId="20C32FD3">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施工期所产生的建筑垃圾应尽量回收利用，对不可利 用部分应收集后运至指定地点进行消纳处置，不得随意处置。弃土方外运至当地政府部门指定的场地进行回填综合利用。隔油池污泥、废机油委托有相应危险废物处置资质单位处置。施工人员生活垃圾经分类收集后由当地环卫部门统一清运处理。</w:t>
      </w:r>
    </w:p>
    <w:p w14:paraId="3AA3E191">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6.环境风险防范</w:t>
      </w:r>
    </w:p>
    <w:p w14:paraId="73B0F0C6">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认真落实《报告书》提出的各项环境风险防控措施和设施，设置足够容积的事故应急池；运营期应加强危险化学品运输车辆事故环境风险管理。</w:t>
      </w:r>
    </w:p>
    <w:p w14:paraId="5D9BF550">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eastAsia="仿宋_GB2312"/>
          <w:sz w:val="32"/>
          <w:szCs w:val="32"/>
          <w:highlight w:val="none"/>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w:t>
      </w:r>
      <w:r>
        <w:rPr>
          <w:rFonts w:hint="eastAsia" w:ascii="仿宋_GB2312" w:eastAsia="仿宋_GB2312"/>
          <w:sz w:val="32"/>
          <w:szCs w:val="32"/>
          <w:highlight w:val="none"/>
        </w:rPr>
        <w:t>排放标准</w:t>
      </w:r>
    </w:p>
    <w:p w14:paraId="070982C8">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eastAsia="仿宋_GB2312"/>
          <w:sz w:val="32"/>
          <w:szCs w:val="32"/>
          <w:highlight w:val="yellow"/>
        </w:rPr>
      </w:pPr>
      <w:r>
        <w:rPr>
          <w:rFonts w:hint="default" w:ascii="仿宋_GB2312" w:eastAsia="仿宋_GB2312"/>
          <w:sz w:val="32"/>
          <w:szCs w:val="32"/>
          <w:highlight w:val="none"/>
        </w:rPr>
        <w:t>1.</w:t>
      </w:r>
      <w:r>
        <w:rPr>
          <w:rFonts w:hint="eastAsia" w:ascii="仿宋_GB2312" w:eastAsia="仿宋_GB2312"/>
          <w:sz w:val="32"/>
          <w:szCs w:val="32"/>
          <w:highlight w:val="none"/>
        </w:rPr>
        <w:t>废气。</w:t>
      </w:r>
      <w:r>
        <w:rPr>
          <w:rFonts w:hint="eastAsia" w:ascii="仿宋_GB2312" w:hAnsi="仿宋_GB2312" w:eastAsia="仿宋_GB2312" w:cs="仿宋_GB2312"/>
          <w:color w:val="auto"/>
          <w:sz w:val="32"/>
          <w:szCs w:val="32"/>
          <w:highlight w:val="none"/>
          <w:lang w:val="en-US" w:eastAsia="zh-CN"/>
        </w:rPr>
        <w:t>施工期扬尘执行《大气污染物综合排放标准》(GB16297-1996)表2中相应的无组织排放监控浓度限值</w:t>
      </w:r>
      <w:r>
        <w:rPr>
          <w:rFonts w:hint="eastAsia" w:ascii="仿宋_GB2312" w:hAnsi="仿宋_GB2312" w:eastAsia="仿宋_GB2312" w:cs="仿宋_GB2312"/>
          <w:color w:val="auto"/>
          <w:sz w:val="32"/>
          <w:szCs w:val="32"/>
          <w:highlight w:val="none"/>
          <w:lang w:eastAsia="zh-CN"/>
        </w:rPr>
        <w:t>。</w:t>
      </w:r>
    </w:p>
    <w:p w14:paraId="559F8D64">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仿宋_GB2312" w:eastAsia="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.噪声。施工期场界噪声排放执行《建筑施工噪声排放标准》（GB12523-2025）排放限值。</w:t>
      </w:r>
      <w:r>
        <w:rPr>
          <w:rFonts w:hint="eastAsia" w:ascii="仿宋_GB2312" w:hAnsi="仿宋_GB2312" w:eastAsia="仿宋_GB2312" w:cs="仿宋_GB2312"/>
          <w:color w:val="auto"/>
          <w:sz w:val="32"/>
          <w:szCs w:val="32"/>
          <w:highlight w:val="none"/>
          <w:lang w:eastAsia="zh-CN"/>
        </w:rPr>
        <w:t>运营期沿线声环境执行《声环境质量标准》（GB 3096-2008）中</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类标准</w:t>
      </w:r>
      <w:r>
        <w:rPr>
          <w:rFonts w:hint="eastAsia" w:ascii="仿宋_GB2312" w:hAnsi="仿宋_GB2312" w:eastAsia="仿宋_GB2312" w:cs="仿宋_GB2312"/>
          <w:color w:val="auto"/>
          <w:kern w:val="2"/>
          <w:sz w:val="32"/>
          <w:szCs w:val="32"/>
          <w:highlight w:val="none"/>
          <w:lang w:val="en-US" w:eastAsia="zh-CN" w:bidi="ar"/>
        </w:rPr>
        <w:t>（临街建筑以高于三层楼房以上(含三层)的建筑为主，第一排建筑物面向街道一侧范围内执行4a类标准;临街建筑以低于三层楼房(含开阔地)的建筑为主，相邻区域为2类声环境功能区，道路边界外35米范围内执行4a类标准)</w:t>
      </w:r>
      <w:r>
        <w:rPr>
          <w:rFonts w:hint="eastAsia" w:ascii="仿宋_GB2312" w:hAnsi="仿宋_GB2312" w:eastAsia="仿宋_GB2312" w:cs="仿宋_GB2312"/>
          <w:strike w:val="0"/>
          <w:dstrike w:val="0"/>
          <w:color w:val="auto"/>
          <w:kern w:val="2"/>
          <w:sz w:val="32"/>
          <w:szCs w:val="32"/>
          <w:highlight w:val="none"/>
          <w:lang w:val="en-US" w:eastAsia="zh-CN" w:bidi="ar"/>
        </w:rPr>
        <w:t>。</w:t>
      </w:r>
    </w:p>
    <w:p w14:paraId="1F818C84">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_GB2312" w:eastAsia="仿宋_GB2312"/>
          <w:sz w:val="32"/>
          <w:szCs w:val="32"/>
          <w:highlight w:val="none"/>
        </w:rPr>
      </w:pPr>
      <w:r>
        <w:rPr>
          <w:rFonts w:hint="eastAsia" w:ascii="仿宋_GB2312" w:eastAsia="仿宋_GB2312"/>
          <w:color w:val="auto"/>
          <w:sz w:val="32"/>
          <w:szCs w:val="32"/>
          <w:highlight w:val="none"/>
          <w:lang w:val="en-US" w:eastAsia="zh-CN"/>
        </w:rPr>
        <w:t>3</w:t>
      </w:r>
      <w:r>
        <w:rPr>
          <w:rFonts w:hint="default" w:ascii="仿宋_GB2312" w:eastAsia="仿宋_GB2312"/>
          <w:color w:val="auto"/>
          <w:sz w:val="32"/>
          <w:szCs w:val="32"/>
          <w:highlight w:val="none"/>
        </w:rPr>
        <w:t>.</w:t>
      </w:r>
      <w:r>
        <w:rPr>
          <w:rFonts w:hint="eastAsia" w:ascii="仿宋_GB2312" w:eastAsia="仿宋_GB2312"/>
          <w:color w:val="auto"/>
          <w:sz w:val="32"/>
          <w:szCs w:val="32"/>
          <w:highlight w:val="none"/>
        </w:rPr>
        <w:t>固废。</w:t>
      </w:r>
      <w:r>
        <w:rPr>
          <w:rFonts w:hint="eastAsia" w:ascii="仿宋_GB2312" w:eastAsia="仿宋_GB2312"/>
          <w:sz w:val="32"/>
          <w:szCs w:val="32"/>
          <w:highlight w:val="none"/>
        </w:rPr>
        <w:t>危险废物贮存执行《危险废物贮存污染控制标准》</w:t>
      </w:r>
      <w:r>
        <w:rPr>
          <w:rFonts w:hint="default" w:ascii="仿宋_GB2312" w:eastAsia="仿宋_GB2312"/>
          <w:sz w:val="32"/>
          <w:szCs w:val="32"/>
          <w:highlight w:val="none"/>
        </w:rPr>
        <w:t>(GB18597-2023</w:t>
      </w:r>
      <w:r>
        <w:rPr>
          <w:rFonts w:hint="eastAsia" w:ascii="仿宋_GB2312" w:eastAsia="仿宋_GB2312"/>
          <w:sz w:val="32"/>
          <w:szCs w:val="32"/>
          <w:highlight w:val="none"/>
        </w:rPr>
        <w:t>）要求，转移管理执行《危险废物转移管理办法》（部令第</w:t>
      </w:r>
      <w:r>
        <w:rPr>
          <w:rFonts w:hint="default" w:ascii="仿宋_GB2312" w:eastAsia="仿宋_GB2312"/>
          <w:sz w:val="32"/>
          <w:szCs w:val="32"/>
          <w:highlight w:val="none"/>
        </w:rPr>
        <w:t>23</w:t>
      </w:r>
      <w:r>
        <w:rPr>
          <w:rFonts w:hint="eastAsia" w:ascii="仿宋_GB2312" w:eastAsia="仿宋_GB2312"/>
          <w:sz w:val="32"/>
          <w:szCs w:val="32"/>
          <w:highlight w:val="none"/>
        </w:rPr>
        <w:t>号）相关规定。</w:t>
      </w:r>
    </w:p>
    <w:p w14:paraId="13E0C90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rightChars="0" w:firstLine="645"/>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四</w:t>
      </w:r>
      <w:r>
        <w:rPr>
          <w:rFonts w:hint="eastAsia" w:ascii="仿宋_GB2312" w:eastAsia="仿宋_GB2312"/>
          <w:color w:val="auto"/>
          <w:sz w:val="32"/>
          <w:szCs w:val="32"/>
          <w:highlight w:val="none"/>
        </w:rPr>
        <w:t>、《报告书》审批后，如建设项目的性质、规模、地点、采用的生产工艺或者防治污染、防止生态破坏的措施发 生重大变动的，应当依法重新报批项目环评。《报告书》自批准之日起满5年，方开工建设的，项目环评应当依法报我局重新审核。</w:t>
      </w:r>
    </w:p>
    <w:p w14:paraId="4F039216">
      <w:pPr>
        <w:pStyle w:val="7"/>
        <w:keepNext w:val="0"/>
        <w:keepLines w:val="0"/>
        <w:pageBreakBefore w:val="0"/>
        <w:widowControl w:val="0"/>
        <w:kinsoku w:val="0"/>
        <w:wordWrap/>
        <w:overflowPunct w:val="0"/>
        <w:topLinePunct w:val="0"/>
        <w:autoSpaceDE/>
        <w:autoSpaceDN/>
        <w:bidi w:val="0"/>
        <w:adjustRightInd/>
        <w:spacing w:before="31" w:beforeLines="0" w:afterLines="0" w:line="540" w:lineRule="exact"/>
        <w:ind w:left="0" w:leftChars="0" w:firstLine="640" w:firstLineChars="200"/>
        <w:textAlignment w:val="auto"/>
        <w:rPr>
          <w:rFonts w:hint="eastAsia" w:ascii="仿宋_GB2312" w:eastAsia="仿宋_GB2312" w:hAnsiTheme="minorHAnsi" w:cstheme="minorBidi"/>
          <w:color w:val="auto"/>
          <w:kern w:val="2"/>
          <w:sz w:val="32"/>
          <w:szCs w:val="32"/>
          <w:highlight w:val="none"/>
          <w:lang w:val="en-US" w:eastAsia="zh-CN" w:bidi="ar-SA"/>
        </w:rPr>
      </w:pPr>
      <w:r>
        <w:rPr>
          <w:rFonts w:hint="eastAsia" w:ascii="仿宋_GB2312" w:eastAsia="仿宋_GB2312" w:hAnsiTheme="minorHAnsi" w:cstheme="minorBidi"/>
          <w:color w:val="auto"/>
          <w:kern w:val="2"/>
          <w:sz w:val="32"/>
          <w:szCs w:val="32"/>
          <w:highlight w:val="none"/>
          <w:lang w:val="en-US" w:eastAsia="zh-CN" w:bidi="ar-SA"/>
        </w:rPr>
        <w:t>五、项目应加强环境管理，推进落实各项生态环境保护措施。严格执行环境保护“三同时”制度，加强施工期环境管理。竣工后应按规定程序实施竣工环境保护验收。</w:t>
      </w:r>
    </w:p>
    <w:p w14:paraId="3C31D335">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rightChars="0" w:firstLine="645"/>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六</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我局委托福州市生态环境保护综合执法支队开展该项目环保“三同时”监督检查，由福州市</w:t>
      </w:r>
      <w:r>
        <w:rPr>
          <w:rFonts w:hint="eastAsia" w:ascii="仿宋_GB2312" w:eastAsia="仿宋_GB2312"/>
          <w:color w:val="auto"/>
          <w:sz w:val="32"/>
          <w:szCs w:val="32"/>
          <w:highlight w:val="none"/>
          <w:lang w:val="en-US" w:eastAsia="zh-CN"/>
        </w:rPr>
        <w:t>福清</w:t>
      </w:r>
      <w:r>
        <w:rPr>
          <w:rFonts w:hint="eastAsia" w:ascii="仿宋_GB2312" w:eastAsia="仿宋_GB2312"/>
          <w:color w:val="auto"/>
          <w:sz w:val="32"/>
          <w:szCs w:val="32"/>
          <w:highlight w:val="none"/>
        </w:rPr>
        <w:t>生态环境局负责该项目日常环保监督管理工作。</w:t>
      </w:r>
    </w:p>
    <w:p w14:paraId="42866DBC">
      <w:pPr>
        <w:keepNext w:val="0"/>
        <w:keepLines w:val="0"/>
        <w:pageBreakBefore w:val="0"/>
        <w:widowControl w:val="0"/>
        <w:wordWrap/>
        <w:topLinePunct w:val="0"/>
        <w:autoSpaceDE/>
        <w:autoSpaceDN/>
        <w:bidi w:val="0"/>
        <w:adjustRightInd/>
        <w:spacing w:line="540" w:lineRule="exact"/>
        <w:textAlignment w:val="auto"/>
        <w:rPr>
          <w:rFonts w:hint="default"/>
        </w:rPr>
      </w:pPr>
    </w:p>
    <w:p w14:paraId="5E932BE7">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center"/>
        <w:textAlignment w:val="auto"/>
        <w:rPr>
          <w:rFonts w:ascii="仿宋_GB2312" w:eastAsia="仿宋_GB2312"/>
          <w:sz w:val="32"/>
          <w:szCs w:val="32"/>
          <w:highlight w:val="none"/>
        </w:rPr>
      </w:pPr>
      <w:r>
        <w:rPr>
          <w:rFonts w:hint="eastAsia" w:ascii="仿宋_GB2312" w:eastAsia="仿宋_GB2312"/>
          <w:sz w:val="32"/>
          <w:szCs w:val="32"/>
          <w:highlight w:val="none"/>
        </w:rPr>
        <w:t xml:space="preserve">                           福州市生态环境局</w:t>
      </w:r>
    </w:p>
    <w:p w14:paraId="3F697E78">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center"/>
        <w:textAlignment w:val="auto"/>
        <w:rPr>
          <w:rFonts w:hint="eastAsia" w:ascii="仿宋_GB2312" w:eastAsia="仿宋_GB2312"/>
          <w:sz w:val="32"/>
          <w:szCs w:val="32"/>
          <w:highlight w:val="none"/>
        </w:rPr>
      </w:pPr>
      <w:r>
        <w:rPr>
          <w:rFonts w:hint="eastAsia" w:ascii="仿宋_GB2312" w:eastAsia="仿宋_GB2312"/>
          <w:sz w:val="32"/>
          <w:szCs w:val="32"/>
          <w:highlight w:val="none"/>
        </w:rPr>
        <w:t xml:space="preserve">                            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日</w:t>
      </w:r>
    </w:p>
    <w:p w14:paraId="40964E38">
      <w:pPr>
        <w:pStyle w:val="2"/>
        <w:rPr>
          <w:rFonts w:hint="eastAsia" w:ascii="仿宋_GB2312" w:eastAsia="仿宋_GB2312"/>
          <w:sz w:val="32"/>
          <w:szCs w:val="32"/>
          <w:highlight w:val="none"/>
        </w:rPr>
      </w:pPr>
    </w:p>
    <w:p w14:paraId="11648E4A">
      <w:pPr>
        <w:rPr>
          <w:rFonts w:hint="eastAsia"/>
        </w:rPr>
      </w:pPr>
    </w:p>
    <w:tbl>
      <w:tblPr>
        <w:tblStyle w:val="12"/>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780"/>
        <w:gridCol w:w="3675"/>
      </w:tblGrid>
      <w:tr w14:paraId="17B6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260" w:type="dxa"/>
            <w:tcBorders>
              <w:top w:val="single" w:color="auto" w:sz="4" w:space="0"/>
              <w:left w:val="nil"/>
              <w:bottom w:val="single" w:color="auto" w:sz="4" w:space="0"/>
              <w:right w:val="nil"/>
            </w:tcBorders>
            <w:vAlign w:val="center"/>
          </w:tcPr>
          <w:p w14:paraId="19013B98">
            <w:pPr>
              <w:keepNext w:val="0"/>
              <w:keepLines w:val="0"/>
              <w:pageBreakBefore w:val="0"/>
              <w:suppressLineNumbers w:val="0"/>
              <w:tabs>
                <w:tab w:val="left" w:pos="3885"/>
              </w:tabs>
              <w:kinsoku/>
              <w:overflowPunct/>
              <w:topLinePunct w:val="0"/>
              <w:autoSpaceDE/>
              <w:autoSpaceDN/>
              <w:bidi w:val="0"/>
              <w:adjustRightInd/>
              <w:snapToGrid/>
              <w:spacing w:before="0" w:beforeAutospacing="0" w:after="0" w:afterAutospacing="0" w:line="500" w:lineRule="exact"/>
              <w:ind w:left="0" w:leftChars="0" w:right="0" w:firstLine="179" w:firstLineChars="64"/>
              <w:textAlignment w:val="auto"/>
              <w:outlineLvl w:val="9"/>
              <w:rPr>
                <w:rFonts w:hint="default" w:ascii="仿宋_GB2312" w:eastAsia="仿宋_GB2312"/>
                <w:color w:val="auto"/>
                <w:sz w:val="28"/>
                <w:szCs w:val="28"/>
                <w:highlight w:val="none"/>
              </w:rPr>
            </w:pPr>
            <w:r>
              <w:rPr>
                <w:rFonts w:hint="eastAsia" w:ascii="仿宋_GB2312" w:eastAsia="仿宋_GB2312"/>
                <w:color w:val="auto"/>
                <w:sz w:val="28"/>
                <w:szCs w:val="28"/>
                <w:highlight w:val="none"/>
              </w:rPr>
              <w:t>抄送：</w:t>
            </w:r>
          </w:p>
        </w:tc>
        <w:tc>
          <w:tcPr>
            <w:tcW w:w="7455" w:type="dxa"/>
            <w:gridSpan w:val="2"/>
            <w:tcBorders>
              <w:top w:val="single" w:color="auto" w:sz="4" w:space="0"/>
              <w:left w:val="nil"/>
              <w:bottom w:val="single" w:color="auto" w:sz="4" w:space="0"/>
              <w:right w:val="nil"/>
            </w:tcBorders>
            <w:vAlign w:val="center"/>
          </w:tcPr>
          <w:p w14:paraId="64FEFD5E">
            <w:pPr>
              <w:keepNext w:val="0"/>
              <w:keepLines w:val="0"/>
              <w:pageBreakBefore w:val="0"/>
              <w:suppressLineNumbers w:val="0"/>
              <w:tabs>
                <w:tab w:val="left" w:pos="3885"/>
              </w:tabs>
              <w:kinsoku/>
              <w:overflowPunct/>
              <w:topLinePunct w:val="0"/>
              <w:autoSpaceDE/>
              <w:autoSpaceDN/>
              <w:bidi w:val="0"/>
              <w:adjustRightInd/>
              <w:snapToGrid/>
              <w:spacing w:before="0" w:beforeAutospacing="0" w:after="0" w:afterAutospacing="0" w:line="500" w:lineRule="exact"/>
              <w:ind w:left="0" w:leftChars="0" w:right="0"/>
              <w:textAlignment w:val="auto"/>
              <w:outlineLvl w:val="9"/>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福州市生态环境保护综合执法支队</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福州市</w:t>
            </w:r>
            <w:r>
              <w:rPr>
                <w:rFonts w:hint="eastAsia" w:ascii="仿宋_GB2312" w:eastAsia="仿宋_GB2312"/>
                <w:color w:val="auto"/>
                <w:sz w:val="28"/>
                <w:szCs w:val="28"/>
                <w:highlight w:val="none"/>
                <w:lang w:val="en-US" w:eastAsia="zh-CN"/>
              </w:rPr>
              <w:t>福清</w:t>
            </w:r>
            <w:r>
              <w:rPr>
                <w:rFonts w:hint="eastAsia" w:ascii="仿宋_GB2312" w:eastAsia="仿宋_GB2312"/>
                <w:color w:val="auto"/>
                <w:sz w:val="28"/>
                <w:szCs w:val="28"/>
                <w:highlight w:val="none"/>
              </w:rPr>
              <w:t>生态环境局</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福州市环境影响评价技术中心</w:t>
            </w:r>
            <w:r>
              <w:rPr>
                <w:rFonts w:hint="eastAsia" w:ascii="仿宋_GB2312" w:eastAsia="仿宋_GB2312"/>
                <w:color w:val="auto"/>
                <w:sz w:val="28"/>
                <w:szCs w:val="28"/>
                <w:highlight w:val="none"/>
                <w:lang w:eastAsia="zh-CN"/>
              </w:rPr>
              <w:t>，福建省环境保护设计院有限公司</w:t>
            </w:r>
          </w:p>
        </w:tc>
      </w:tr>
      <w:tr w14:paraId="3801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040" w:type="dxa"/>
            <w:gridSpan w:val="2"/>
            <w:tcBorders>
              <w:top w:val="single" w:color="auto" w:sz="4" w:space="0"/>
              <w:left w:val="nil"/>
              <w:bottom w:val="single" w:color="auto" w:sz="4" w:space="0"/>
              <w:right w:val="nil"/>
            </w:tcBorders>
            <w:vAlign w:val="center"/>
          </w:tcPr>
          <w:p w14:paraId="564FD745">
            <w:pPr>
              <w:keepNext w:val="0"/>
              <w:keepLines w:val="0"/>
              <w:pageBreakBefore w:val="0"/>
              <w:suppressLineNumbers w:val="0"/>
              <w:tabs>
                <w:tab w:val="left" w:pos="3885"/>
              </w:tabs>
              <w:kinsoku/>
              <w:overflowPunct/>
              <w:topLinePunct w:val="0"/>
              <w:autoSpaceDE/>
              <w:autoSpaceDN/>
              <w:bidi w:val="0"/>
              <w:adjustRightInd/>
              <w:snapToGrid/>
              <w:spacing w:before="0" w:beforeAutospacing="0" w:after="0" w:afterAutospacing="0" w:line="500" w:lineRule="exact"/>
              <w:ind w:left="0" w:leftChars="0" w:right="0" w:firstLine="179" w:firstLineChars="64"/>
              <w:textAlignment w:val="auto"/>
              <w:outlineLvl w:val="9"/>
              <w:rPr>
                <w:rFonts w:hint="default" w:eastAsia="仿宋_GB2312"/>
                <w:color w:val="auto"/>
                <w:sz w:val="28"/>
                <w:szCs w:val="28"/>
                <w:highlight w:val="none"/>
              </w:rPr>
            </w:pPr>
            <w:r>
              <w:rPr>
                <w:rFonts w:hint="eastAsia" w:ascii="仿宋_GB2312" w:eastAsia="仿宋_GB2312"/>
                <w:color w:val="auto"/>
                <w:sz w:val="28"/>
                <w:szCs w:val="28"/>
                <w:highlight w:val="none"/>
              </w:rPr>
              <w:t>福州市</w:t>
            </w:r>
            <w:r>
              <w:rPr>
                <w:rFonts w:hint="eastAsia" w:ascii="仿宋_GB2312" w:eastAsia="仿宋_GB2312"/>
                <w:color w:val="auto"/>
                <w:sz w:val="28"/>
                <w:szCs w:val="28"/>
                <w:highlight w:val="none"/>
                <w:lang w:eastAsia="zh-CN"/>
              </w:rPr>
              <w:t>生态环境</w:t>
            </w:r>
            <w:r>
              <w:rPr>
                <w:rFonts w:hint="eastAsia" w:ascii="仿宋_GB2312" w:eastAsia="仿宋_GB2312"/>
                <w:color w:val="auto"/>
                <w:sz w:val="28"/>
                <w:szCs w:val="28"/>
                <w:highlight w:val="none"/>
              </w:rPr>
              <w:t>局</w:t>
            </w:r>
          </w:p>
        </w:tc>
        <w:tc>
          <w:tcPr>
            <w:tcW w:w="3675" w:type="dxa"/>
            <w:tcBorders>
              <w:top w:val="single" w:color="auto" w:sz="4" w:space="0"/>
              <w:left w:val="nil"/>
              <w:bottom w:val="single" w:color="auto" w:sz="4" w:space="0"/>
              <w:right w:val="nil"/>
            </w:tcBorders>
            <w:vAlign w:val="center"/>
          </w:tcPr>
          <w:p w14:paraId="254FFA45">
            <w:pPr>
              <w:keepNext w:val="0"/>
              <w:keepLines w:val="0"/>
              <w:pageBreakBefore w:val="0"/>
              <w:suppressLineNumbers w:val="0"/>
              <w:tabs>
                <w:tab w:val="left" w:pos="3882"/>
                <w:tab w:val="left" w:pos="3987"/>
              </w:tabs>
              <w:kinsoku/>
              <w:wordWrap w:val="0"/>
              <w:overflowPunct/>
              <w:topLinePunct w:val="0"/>
              <w:autoSpaceDE/>
              <w:autoSpaceDN/>
              <w:bidi w:val="0"/>
              <w:adjustRightInd/>
              <w:snapToGrid/>
              <w:spacing w:before="0" w:beforeAutospacing="0" w:after="0" w:afterAutospacing="0" w:line="500" w:lineRule="exact"/>
              <w:ind w:left="0" w:leftChars="0" w:right="311" w:rightChars="148"/>
              <w:jc w:val="right"/>
              <w:textAlignment w:val="auto"/>
              <w:outlineLvl w:val="9"/>
              <w:rPr>
                <w:rFonts w:hint="default" w:eastAsia="仿宋_GB2312"/>
                <w:color w:val="auto"/>
                <w:sz w:val="28"/>
                <w:szCs w:val="28"/>
                <w:highlight w:val="none"/>
              </w:rPr>
            </w:pPr>
            <w:r>
              <w:rPr>
                <w:rFonts w:hint="eastAsia" w:ascii="仿宋_GB2312" w:eastAsia="仿宋_GB2312"/>
                <w:color w:val="auto"/>
                <w:sz w:val="28"/>
                <w:szCs w:val="28"/>
                <w:highlight w:val="none"/>
              </w:rPr>
              <w:t>20</w:t>
            </w:r>
            <w:r>
              <w:rPr>
                <w:rFonts w:hint="eastAsia" w:ascii="仿宋_GB2312" w:eastAsia="仿宋_GB2312"/>
                <w:color w:val="auto"/>
                <w:sz w:val="28"/>
                <w:szCs w:val="28"/>
                <w:highlight w:val="none"/>
                <w:lang w:val="en-US" w:eastAsia="zh-CN"/>
              </w:rPr>
              <w:t>26</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6</w:t>
            </w:r>
            <w:bookmarkStart w:id="0" w:name="_GoBack"/>
            <w:bookmarkEnd w:id="0"/>
            <w:r>
              <w:rPr>
                <w:rFonts w:hint="eastAsia" w:ascii="仿宋_GB2312" w:eastAsia="仿宋_GB2312"/>
                <w:color w:val="auto"/>
                <w:sz w:val="28"/>
                <w:szCs w:val="28"/>
                <w:highlight w:val="none"/>
              </w:rPr>
              <w:t>日印发</w:t>
            </w:r>
          </w:p>
        </w:tc>
      </w:tr>
    </w:tbl>
    <w:p w14:paraId="66DF9D58">
      <w:pPr>
        <w:pStyle w:val="2"/>
        <w:ind w:left="0" w:leftChars="0" w:firstLine="0" w:firstLineChars="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80528">
    <w:pPr>
      <w:pStyle w:val="7"/>
      <w:kinsoku w:val="0"/>
      <w:overflowPunct w:val="0"/>
      <w:spacing w:beforeLines="0" w:afterLines="0" w:line="14" w:lineRule="auto"/>
      <w:ind w:left="0"/>
      <w:rPr>
        <w:rFonts w:hint="default"/>
        <w:sz w:val="20"/>
        <w:szCs w:val="24"/>
      </w:rPr>
    </w:pPr>
    <w:r>
      <w:rPr>
        <w:rFonts w:hint="eastAsia"/>
        <w:color w:val="000000"/>
        <w:sz w:val="30"/>
        <w:szCs w:val="24"/>
      </w:rPr>
      <mc:AlternateContent>
        <mc:Choice Requires="wps">
          <w:drawing>
            <wp:anchor distT="0" distB="0" distL="114300" distR="114300" simplePos="0" relativeHeight="251659264" behindDoc="1" locked="0" layoutInCell="1" allowOverlap="1">
              <wp:simplePos x="0" y="0"/>
              <wp:positionH relativeFrom="page">
                <wp:posOffset>3734435</wp:posOffset>
              </wp:positionH>
              <wp:positionV relativeFrom="page">
                <wp:posOffset>9905365</wp:posOffset>
              </wp:positionV>
              <wp:extent cx="161925" cy="2317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1925" cy="231775"/>
                      </a:xfrm>
                      <a:prstGeom prst="rect">
                        <a:avLst/>
                      </a:prstGeom>
                      <a:noFill/>
                      <a:ln>
                        <a:noFill/>
                      </a:ln>
                    </wps:spPr>
                    <wps:txbx>
                      <w:txbxContent>
                        <w:p w14:paraId="4A8E0886">
                          <w:pPr>
                            <w:pStyle w:val="7"/>
                            <w:kinsoku w:val="0"/>
                            <w:overflowPunct w:val="0"/>
                            <w:spacing w:before="38" w:beforeLines="0" w:afterLines="0"/>
                            <w:ind w:left="102"/>
                            <w:rPr>
                              <w:rFonts w:hint="default" w:ascii="Times New Roman" w:hAnsi="Times New Roman" w:eastAsia="Times New Roman"/>
                              <w:color w:val="000000"/>
                              <w:sz w:val="27"/>
                              <w:szCs w:val="24"/>
                            </w:rPr>
                          </w:pPr>
                          <w:r>
                            <w:rPr>
                              <w:rFonts w:hint="default" w:ascii="Times New Roman" w:hAnsi="Times New Roman" w:eastAsia="Times New Roman"/>
                              <w:color w:val="110C1C"/>
                              <w:w w:val="83"/>
                              <w:sz w:val="27"/>
                              <w:szCs w:val="24"/>
                            </w:rPr>
                            <w:fldChar w:fldCharType="begin"/>
                          </w:r>
                          <w:r>
                            <w:rPr>
                              <w:rFonts w:hint="default" w:ascii="Times New Roman" w:hAnsi="Times New Roman" w:eastAsia="Times New Roman"/>
                              <w:color w:val="110C1C"/>
                              <w:w w:val="83"/>
                              <w:sz w:val="27"/>
                              <w:szCs w:val="24"/>
                            </w:rPr>
                            <w:instrText xml:space="preserve"> PAGE </w:instrText>
                          </w:r>
                          <w:r>
                            <w:rPr>
                              <w:rFonts w:hint="default" w:ascii="Times New Roman" w:hAnsi="Times New Roman" w:eastAsia="Times New Roman"/>
                              <w:color w:val="110C1C"/>
                              <w:w w:val="83"/>
                              <w:sz w:val="27"/>
                              <w:szCs w:val="24"/>
                            </w:rPr>
                            <w:fldChar w:fldCharType="separate"/>
                          </w:r>
                          <w:r>
                            <w:rPr>
                              <w:rFonts w:hint="default" w:ascii="Times New Roman" w:hAnsi="Times New Roman" w:eastAsia="Times New Roman"/>
                              <w:color w:val="110C1C"/>
                              <w:w w:val="83"/>
                              <w:sz w:val="27"/>
                              <w:szCs w:val="24"/>
                            </w:rPr>
                            <w:fldChar w:fldCharType="end"/>
                          </w:r>
                        </w:p>
                      </w:txbxContent>
                    </wps:txbx>
                    <wps:bodyPr lIns="0" tIns="0" rIns="0" bIns="0" upright="1"/>
                  </wps:wsp>
                </a:graphicData>
              </a:graphic>
            </wp:anchor>
          </w:drawing>
        </mc:Choice>
        <mc:Fallback>
          <w:pict>
            <v:shape id="_x0000_s1026" o:spid="_x0000_s1026" o:spt="202" type="#_x0000_t202" style="position:absolute;left:0pt;margin-left:294.05pt;margin-top:779.95pt;height:18.25pt;width:12.75pt;mso-position-horizontal-relative:page;mso-position-vertical-relative:page;z-index:-251657216;mso-width-relative:page;mso-height-relative:page;" filled="f" stroked="f" coordsize="21600,21600" o:gfxdata="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1SR9z9oAAAANAQAADwAAAAAAAAABACAAAAAiAAAAZHJzL2Rvd25yZXYueG1sUEsB&#10;AhQAFAAAAAgAh07iQDbB8566AQAAcQMAAA4AAAAAAAAAAQAgAAAAKQEAAGRycy9lMm9Eb2MueG1s&#10;UEsFBgAAAAAGAAYAWQEAAFUFAAAAAA==&#10;">
              <v:fill on="f" focussize="0,0"/>
              <v:stroke on="f"/>
              <v:imagedata o:title=""/>
              <o:lock v:ext="edit" aspectratio="f"/>
              <v:textbox inset="0mm,0mm,0mm,0mm">
                <w:txbxContent>
                  <w:p w14:paraId="4A8E0886">
                    <w:pPr>
                      <w:pStyle w:val="7"/>
                      <w:kinsoku w:val="0"/>
                      <w:overflowPunct w:val="0"/>
                      <w:spacing w:before="38" w:beforeLines="0" w:afterLines="0"/>
                      <w:ind w:left="102"/>
                      <w:rPr>
                        <w:rFonts w:hint="default" w:ascii="Times New Roman" w:hAnsi="Times New Roman" w:eastAsia="Times New Roman"/>
                        <w:color w:val="000000"/>
                        <w:sz w:val="27"/>
                        <w:szCs w:val="24"/>
                      </w:rPr>
                    </w:pPr>
                    <w:r>
                      <w:rPr>
                        <w:rFonts w:hint="default" w:ascii="Times New Roman" w:hAnsi="Times New Roman" w:eastAsia="Times New Roman"/>
                        <w:color w:val="110C1C"/>
                        <w:w w:val="83"/>
                        <w:sz w:val="27"/>
                        <w:szCs w:val="24"/>
                      </w:rPr>
                      <w:fldChar w:fldCharType="begin"/>
                    </w:r>
                    <w:r>
                      <w:rPr>
                        <w:rFonts w:hint="default" w:ascii="Times New Roman" w:hAnsi="Times New Roman" w:eastAsia="Times New Roman"/>
                        <w:color w:val="110C1C"/>
                        <w:w w:val="83"/>
                        <w:sz w:val="27"/>
                        <w:szCs w:val="24"/>
                      </w:rPr>
                      <w:instrText xml:space="preserve"> PAGE </w:instrText>
                    </w:r>
                    <w:r>
                      <w:rPr>
                        <w:rFonts w:hint="default" w:ascii="Times New Roman" w:hAnsi="Times New Roman" w:eastAsia="Times New Roman"/>
                        <w:color w:val="110C1C"/>
                        <w:w w:val="83"/>
                        <w:sz w:val="27"/>
                        <w:szCs w:val="24"/>
                      </w:rPr>
                      <w:fldChar w:fldCharType="separate"/>
                    </w:r>
                    <w:r>
                      <w:rPr>
                        <w:rFonts w:hint="default" w:ascii="Times New Roman" w:hAnsi="Times New Roman" w:eastAsia="Times New Roman"/>
                        <w:color w:val="110C1C"/>
                        <w:w w:val="83"/>
                        <w:sz w:val="27"/>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1MzRjZGRjYmU2OGUyMzZjNTlhMTMzYTQ5NTdmY2QifQ=="/>
  </w:docVars>
  <w:rsids>
    <w:rsidRoot w:val="00172A27"/>
    <w:rsid w:val="000260A5"/>
    <w:rsid w:val="000C16DA"/>
    <w:rsid w:val="0033266C"/>
    <w:rsid w:val="00405784"/>
    <w:rsid w:val="004A76DF"/>
    <w:rsid w:val="00823299"/>
    <w:rsid w:val="008602C5"/>
    <w:rsid w:val="008F3857"/>
    <w:rsid w:val="009414B3"/>
    <w:rsid w:val="00990158"/>
    <w:rsid w:val="00A1182A"/>
    <w:rsid w:val="00AB2D1C"/>
    <w:rsid w:val="00C01E65"/>
    <w:rsid w:val="00C50628"/>
    <w:rsid w:val="00D91D34"/>
    <w:rsid w:val="00E075BC"/>
    <w:rsid w:val="00E11098"/>
    <w:rsid w:val="00E45A2E"/>
    <w:rsid w:val="00FF7216"/>
    <w:rsid w:val="0127208E"/>
    <w:rsid w:val="01532550"/>
    <w:rsid w:val="01613E24"/>
    <w:rsid w:val="016B6192"/>
    <w:rsid w:val="0200793B"/>
    <w:rsid w:val="02A67ACC"/>
    <w:rsid w:val="03200761"/>
    <w:rsid w:val="046161A6"/>
    <w:rsid w:val="04F76DD4"/>
    <w:rsid w:val="056C5A14"/>
    <w:rsid w:val="05E03587"/>
    <w:rsid w:val="065749D9"/>
    <w:rsid w:val="07255E89"/>
    <w:rsid w:val="07B23FB7"/>
    <w:rsid w:val="07BF4591"/>
    <w:rsid w:val="07C96FEC"/>
    <w:rsid w:val="07D42B19"/>
    <w:rsid w:val="08436CF1"/>
    <w:rsid w:val="08B66203"/>
    <w:rsid w:val="08D819CB"/>
    <w:rsid w:val="09286D3F"/>
    <w:rsid w:val="094B0249"/>
    <w:rsid w:val="0A765F0A"/>
    <w:rsid w:val="0B341D58"/>
    <w:rsid w:val="0C1618B2"/>
    <w:rsid w:val="0C455357"/>
    <w:rsid w:val="0D9878D6"/>
    <w:rsid w:val="0E1C0247"/>
    <w:rsid w:val="0E633519"/>
    <w:rsid w:val="0E6C1F07"/>
    <w:rsid w:val="0EAC0099"/>
    <w:rsid w:val="0EFF0B63"/>
    <w:rsid w:val="0F794FF3"/>
    <w:rsid w:val="106D0892"/>
    <w:rsid w:val="111B1AB3"/>
    <w:rsid w:val="11CA7114"/>
    <w:rsid w:val="11F1452D"/>
    <w:rsid w:val="123E1A34"/>
    <w:rsid w:val="12C6210F"/>
    <w:rsid w:val="131C58E3"/>
    <w:rsid w:val="13293365"/>
    <w:rsid w:val="13657256"/>
    <w:rsid w:val="13B16CE7"/>
    <w:rsid w:val="13D8705C"/>
    <w:rsid w:val="14934F22"/>
    <w:rsid w:val="14A05934"/>
    <w:rsid w:val="15D02A44"/>
    <w:rsid w:val="16391213"/>
    <w:rsid w:val="16B05B1D"/>
    <w:rsid w:val="173B0044"/>
    <w:rsid w:val="17D023BA"/>
    <w:rsid w:val="18452800"/>
    <w:rsid w:val="18582A40"/>
    <w:rsid w:val="19257F5C"/>
    <w:rsid w:val="19635B35"/>
    <w:rsid w:val="1998742F"/>
    <w:rsid w:val="1A633C55"/>
    <w:rsid w:val="1A97397D"/>
    <w:rsid w:val="1B214753"/>
    <w:rsid w:val="1B746016"/>
    <w:rsid w:val="1B851382"/>
    <w:rsid w:val="1BAD4238"/>
    <w:rsid w:val="1C19367C"/>
    <w:rsid w:val="1C3E5F71"/>
    <w:rsid w:val="1CAD391A"/>
    <w:rsid w:val="1CD64CCD"/>
    <w:rsid w:val="1E796669"/>
    <w:rsid w:val="20A554BB"/>
    <w:rsid w:val="20D62599"/>
    <w:rsid w:val="21157BA8"/>
    <w:rsid w:val="217575A6"/>
    <w:rsid w:val="21DF4B1F"/>
    <w:rsid w:val="22827E15"/>
    <w:rsid w:val="23520571"/>
    <w:rsid w:val="239C5C07"/>
    <w:rsid w:val="24766DB1"/>
    <w:rsid w:val="24CE65DA"/>
    <w:rsid w:val="25BF3AE5"/>
    <w:rsid w:val="260152B5"/>
    <w:rsid w:val="267F3782"/>
    <w:rsid w:val="27217957"/>
    <w:rsid w:val="282E6701"/>
    <w:rsid w:val="2858552C"/>
    <w:rsid w:val="28BF37D3"/>
    <w:rsid w:val="29C55FF7"/>
    <w:rsid w:val="29F9114E"/>
    <w:rsid w:val="2A206818"/>
    <w:rsid w:val="2AE7797C"/>
    <w:rsid w:val="2B8D191A"/>
    <w:rsid w:val="2BBD3DD5"/>
    <w:rsid w:val="2E1662C5"/>
    <w:rsid w:val="2ECD07E4"/>
    <w:rsid w:val="2F1F4444"/>
    <w:rsid w:val="2F803CE6"/>
    <w:rsid w:val="30E20088"/>
    <w:rsid w:val="3173136F"/>
    <w:rsid w:val="32924A39"/>
    <w:rsid w:val="32D41AAF"/>
    <w:rsid w:val="32F978C1"/>
    <w:rsid w:val="33022C64"/>
    <w:rsid w:val="332B0506"/>
    <w:rsid w:val="33E4368B"/>
    <w:rsid w:val="348F0812"/>
    <w:rsid w:val="35B3586F"/>
    <w:rsid w:val="3709037B"/>
    <w:rsid w:val="37785CB9"/>
    <w:rsid w:val="39191685"/>
    <w:rsid w:val="39577736"/>
    <w:rsid w:val="3979408E"/>
    <w:rsid w:val="3A5E4CE6"/>
    <w:rsid w:val="3AB53D82"/>
    <w:rsid w:val="3AE71EDA"/>
    <w:rsid w:val="3B225C51"/>
    <w:rsid w:val="3B9D79CE"/>
    <w:rsid w:val="3C256A70"/>
    <w:rsid w:val="3DA121AA"/>
    <w:rsid w:val="3F2D4BEC"/>
    <w:rsid w:val="3F2E0DDE"/>
    <w:rsid w:val="3F543326"/>
    <w:rsid w:val="3F5461E8"/>
    <w:rsid w:val="40C41F79"/>
    <w:rsid w:val="4104412C"/>
    <w:rsid w:val="41E2276B"/>
    <w:rsid w:val="42236193"/>
    <w:rsid w:val="425E25A2"/>
    <w:rsid w:val="429E6DF7"/>
    <w:rsid w:val="4446233C"/>
    <w:rsid w:val="44C12634"/>
    <w:rsid w:val="45A858ED"/>
    <w:rsid w:val="45C37A19"/>
    <w:rsid w:val="463851EF"/>
    <w:rsid w:val="46A152B3"/>
    <w:rsid w:val="470C7920"/>
    <w:rsid w:val="472E7542"/>
    <w:rsid w:val="49971E3D"/>
    <w:rsid w:val="4AF03E8E"/>
    <w:rsid w:val="4B140BCA"/>
    <w:rsid w:val="4B211B37"/>
    <w:rsid w:val="4B452A68"/>
    <w:rsid w:val="4B7971A0"/>
    <w:rsid w:val="4B9562DD"/>
    <w:rsid w:val="4BF6343A"/>
    <w:rsid w:val="4C413E2E"/>
    <w:rsid w:val="4D611F15"/>
    <w:rsid w:val="4DAE5A6A"/>
    <w:rsid w:val="4ED5210D"/>
    <w:rsid w:val="4EF12BF7"/>
    <w:rsid w:val="4F8951F0"/>
    <w:rsid w:val="4FF018B7"/>
    <w:rsid w:val="504A46EB"/>
    <w:rsid w:val="508075D8"/>
    <w:rsid w:val="50884351"/>
    <w:rsid w:val="50CA13DC"/>
    <w:rsid w:val="5115777F"/>
    <w:rsid w:val="517C6C8E"/>
    <w:rsid w:val="51BB42C6"/>
    <w:rsid w:val="52914930"/>
    <w:rsid w:val="52C13875"/>
    <w:rsid w:val="52D71FC3"/>
    <w:rsid w:val="531050AB"/>
    <w:rsid w:val="54F7397C"/>
    <w:rsid w:val="55834839"/>
    <w:rsid w:val="56D71B8E"/>
    <w:rsid w:val="576466C7"/>
    <w:rsid w:val="57924C73"/>
    <w:rsid w:val="57A91796"/>
    <w:rsid w:val="57D305A7"/>
    <w:rsid w:val="57D84410"/>
    <w:rsid w:val="58134F62"/>
    <w:rsid w:val="58201313"/>
    <w:rsid w:val="592E7D28"/>
    <w:rsid w:val="59542F6A"/>
    <w:rsid w:val="59957A23"/>
    <w:rsid w:val="59B23E12"/>
    <w:rsid w:val="5A9C5772"/>
    <w:rsid w:val="5B4B219F"/>
    <w:rsid w:val="5B7200D7"/>
    <w:rsid w:val="5C3E620B"/>
    <w:rsid w:val="5C4B1E34"/>
    <w:rsid w:val="5D5B20AB"/>
    <w:rsid w:val="5D8B1FBD"/>
    <w:rsid w:val="5E1C6994"/>
    <w:rsid w:val="5E253139"/>
    <w:rsid w:val="5FCE6079"/>
    <w:rsid w:val="5FF45D87"/>
    <w:rsid w:val="60122904"/>
    <w:rsid w:val="609B2D0A"/>
    <w:rsid w:val="61412C54"/>
    <w:rsid w:val="621D0684"/>
    <w:rsid w:val="623A3AC6"/>
    <w:rsid w:val="62FB7EA7"/>
    <w:rsid w:val="630C7ED7"/>
    <w:rsid w:val="63EF49BB"/>
    <w:rsid w:val="644B4371"/>
    <w:rsid w:val="652F1BCA"/>
    <w:rsid w:val="654C34D7"/>
    <w:rsid w:val="65A0073D"/>
    <w:rsid w:val="670F638F"/>
    <w:rsid w:val="67E4235D"/>
    <w:rsid w:val="6841330B"/>
    <w:rsid w:val="68CD0275"/>
    <w:rsid w:val="697A37B7"/>
    <w:rsid w:val="69905A5D"/>
    <w:rsid w:val="699D54FB"/>
    <w:rsid w:val="6A0E1913"/>
    <w:rsid w:val="6B326FDE"/>
    <w:rsid w:val="6B460C38"/>
    <w:rsid w:val="6BFF19F4"/>
    <w:rsid w:val="6CC72A54"/>
    <w:rsid w:val="6CD209D6"/>
    <w:rsid w:val="6DD32D72"/>
    <w:rsid w:val="6F5E7FA2"/>
    <w:rsid w:val="6FB4486A"/>
    <w:rsid w:val="6FC638A4"/>
    <w:rsid w:val="718D5646"/>
    <w:rsid w:val="71BD383E"/>
    <w:rsid w:val="73FB269B"/>
    <w:rsid w:val="74033B82"/>
    <w:rsid w:val="74DA48CB"/>
    <w:rsid w:val="75141948"/>
    <w:rsid w:val="78B06911"/>
    <w:rsid w:val="79091603"/>
    <w:rsid w:val="792E51E6"/>
    <w:rsid w:val="79A16564"/>
    <w:rsid w:val="7A2D2E1A"/>
    <w:rsid w:val="7A422A52"/>
    <w:rsid w:val="7A4317E4"/>
    <w:rsid w:val="7A5E3AC4"/>
    <w:rsid w:val="7B1046D5"/>
    <w:rsid w:val="7B32572E"/>
    <w:rsid w:val="7B4A5F29"/>
    <w:rsid w:val="7C1B1E9B"/>
    <w:rsid w:val="7CAD0E3C"/>
    <w:rsid w:val="7CE24C65"/>
    <w:rsid w:val="7D007C35"/>
    <w:rsid w:val="7D9C3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6">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4"/>
    <w:unhideWhenUsed/>
    <w:qFormat/>
    <w:uiPriority w:val="0"/>
    <w:pPr>
      <w:spacing w:after="120"/>
      <w:ind w:left="420" w:leftChars="200"/>
    </w:pPr>
  </w:style>
  <w:style w:type="paragraph" w:customStyle="1" w:styleId="4">
    <w:name w:val="样式 正文文本缩进 + 宋体 小四 居中 行距: 固定值 23 磅1"/>
    <w:basedOn w:val="1"/>
    <w:qFormat/>
    <w:uiPriority w:val="0"/>
    <w:pPr>
      <w:spacing w:line="460" w:lineRule="exact"/>
      <w:ind w:left="-181" w:leftChars="-86"/>
    </w:pPr>
    <w:rPr>
      <w:rFonts w:ascii="宋体" w:hAnsi="宋体" w:cs="宋体"/>
      <w:color w:val="000000"/>
    </w:rPr>
  </w:style>
  <w:style w:type="paragraph" w:styleId="7">
    <w:name w:val="Body Text"/>
    <w:basedOn w:val="1"/>
    <w:unhideWhenUsed/>
    <w:qFormat/>
    <w:uiPriority w:val="1"/>
    <w:pPr>
      <w:spacing w:beforeLines="0" w:afterLines="0"/>
      <w:ind w:left="119"/>
    </w:pPr>
    <w:rPr>
      <w:rFonts w:hint="eastAsia" w:ascii="宋体" w:hAnsi="宋体" w:eastAsia="宋体"/>
      <w:sz w:val="30"/>
      <w:szCs w:val="24"/>
    </w:rPr>
  </w:style>
  <w:style w:type="paragraph" w:styleId="8">
    <w:name w:val="footer"/>
    <w:basedOn w:val="1"/>
    <w:link w:val="18"/>
    <w:qFormat/>
    <w:uiPriority w:val="0"/>
    <w:pPr>
      <w:tabs>
        <w:tab w:val="center" w:pos="4153"/>
        <w:tab w:val="right" w:pos="8306"/>
      </w:tabs>
      <w:snapToGrid w:val="0"/>
      <w:jc w:val="left"/>
    </w:pPr>
    <w:rPr>
      <w:sz w:val="18"/>
      <w:szCs w:val="18"/>
    </w:rPr>
  </w:style>
  <w:style w:type="paragraph" w:styleId="9">
    <w:name w:val="header"/>
    <w:basedOn w:val="1"/>
    <w:link w:val="17"/>
    <w:qFormat/>
    <w:uiPriority w:val="0"/>
    <w:pPr>
      <w:tabs>
        <w:tab w:val="center" w:pos="4153"/>
        <w:tab w:val="right" w:pos="8306"/>
      </w:tabs>
      <w:snapToGrid w:val="0"/>
      <w:jc w:val="center"/>
    </w:pPr>
    <w:rPr>
      <w:sz w:val="18"/>
      <w:szCs w:val="18"/>
    </w:rPr>
  </w:style>
  <w:style w:type="paragraph" w:styleId="10">
    <w:name w:val="toc 4"/>
    <w:basedOn w:val="1"/>
    <w:next w:val="1"/>
    <w:qFormat/>
    <w:uiPriority w:val="0"/>
    <w:pPr>
      <w:adjustRightInd/>
      <w:snapToGrid/>
      <w:spacing w:line="240" w:lineRule="auto"/>
      <w:ind w:left="1260" w:leftChars="600" w:firstLine="0" w:firstLineChars="0"/>
    </w:pPr>
    <w:rPr>
      <w:kern w:val="2"/>
      <w:sz w:val="21"/>
      <w:szCs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FollowedHyperlink"/>
    <w:basedOn w:val="13"/>
    <w:qFormat/>
    <w:uiPriority w:val="0"/>
    <w:rPr>
      <w:color w:val="333333"/>
      <w:u w:val="none"/>
    </w:rPr>
  </w:style>
  <w:style w:type="character" w:styleId="15">
    <w:name w:val="Emphasis"/>
    <w:basedOn w:val="13"/>
    <w:qFormat/>
    <w:uiPriority w:val="0"/>
  </w:style>
  <w:style w:type="character" w:styleId="16">
    <w:name w:val="Hyperlink"/>
    <w:basedOn w:val="13"/>
    <w:qFormat/>
    <w:uiPriority w:val="0"/>
    <w:rPr>
      <w:color w:val="333333"/>
      <w:u w:val="none"/>
    </w:rPr>
  </w:style>
  <w:style w:type="character" w:customStyle="1" w:styleId="17">
    <w:name w:val="页眉 字符"/>
    <w:basedOn w:val="13"/>
    <w:link w:val="9"/>
    <w:qFormat/>
    <w:uiPriority w:val="0"/>
    <w:rPr>
      <w:rFonts w:asciiTheme="minorHAnsi" w:hAnsiTheme="minorHAnsi" w:eastAsiaTheme="minorEastAsia" w:cstheme="minorBidi"/>
      <w:kern w:val="2"/>
      <w:sz w:val="18"/>
      <w:szCs w:val="18"/>
    </w:rPr>
  </w:style>
  <w:style w:type="character" w:customStyle="1" w:styleId="18">
    <w:name w:val="页脚 字符"/>
    <w:basedOn w:val="13"/>
    <w:link w:val="8"/>
    <w:qFormat/>
    <w:uiPriority w:val="0"/>
    <w:rPr>
      <w:rFonts w:asciiTheme="minorHAnsi" w:hAnsiTheme="minorHAnsi" w:eastAsiaTheme="minorEastAsia" w:cstheme="minorBidi"/>
      <w:kern w:val="2"/>
      <w:sz w:val="18"/>
      <w:szCs w:val="18"/>
    </w:rPr>
  </w:style>
  <w:style w:type="paragraph" w:customStyle="1" w:styleId="19">
    <w:name w:val="评估内容"/>
    <w:basedOn w:val="1"/>
    <w:qFormat/>
    <w:uiPriority w:val="0"/>
    <w:pPr>
      <w:keepNext w:val="0"/>
      <w:keepLines w:val="0"/>
      <w:widowControl w:val="0"/>
      <w:suppressLineNumbers w:val="0"/>
      <w:adjustRightInd w:val="0"/>
      <w:snapToGrid w:val="0"/>
      <w:spacing w:before="0" w:beforeAutospacing="0" w:after="0" w:afterAutospacing="0" w:line="360" w:lineRule="auto"/>
      <w:ind w:left="0" w:right="0" w:firstLine="192" w:firstLineChars="192"/>
      <w:jc w:val="both"/>
    </w:pPr>
    <w:rPr>
      <w:rFonts w:hint="default" w:ascii="Times New Roman" w:hAnsi="Times New Roman" w:eastAsia="宋体" w:cs="Times New Roman"/>
      <w:color w:val="FF0000"/>
      <w:kern w:val="21"/>
      <w:sz w:val="24"/>
      <w:szCs w:val="24"/>
      <w:lang w:val="en-US" w:eastAsia="zh-CN" w:bidi="ar"/>
    </w:rPr>
  </w:style>
  <w:style w:type="character" w:customStyle="1" w:styleId="20">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1882</Words>
  <Characters>1966</Characters>
  <Lines>14</Lines>
  <Paragraphs>3</Paragraphs>
  <TotalTime>37</TotalTime>
  <ScaleCrop>false</ScaleCrop>
  <LinksUpToDate>false</LinksUpToDate>
  <CharactersWithSpaces>2025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2023-03-27T01:25:00Z</dcterms:created>
  <dc:creator>曹昌炜</dc:creator>
  <cp:lastModifiedBy>月见函灯</cp:lastModifiedBy>
  <cp:lastPrinted>2024-01-15T01:23:00Z</cp:lastPrinted>
  <dcterms:modified xsi:type="dcterms:W3CDTF">2026-07-06T06:19:04Z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7DBCE2824E2D4229997759F8A330D4BB_13</vt:lpwstr>
  </property>
  <property fmtid="{D5CDD505-2E9C-101B-9397-08002B2CF9AE}" pid="4" name="KSOTemplateDocerSaveRecord">
    <vt:lpwstr>eyJoZGlkIjoiMDkxNDM5NTI3YTI2MzU0NTA3MzliODM2N2FlYTc2NjYiLCJ1c2VySWQiOiI0MjM3NjMwNzUifQ==</vt:lpwstr>
  </property>
</Properties>
</file>