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859F8">
      <w:pPr>
        <w:rPr>
          <w:color w:val="auto"/>
        </w:rPr>
      </w:pPr>
      <w:bookmarkStart w:id="44" w:name="_GoBack"/>
    </w:p>
    <w:p w14:paraId="7F4E622F">
      <w:pPr>
        <w:rPr>
          <w:color w:val="auto"/>
        </w:rPr>
      </w:pPr>
    </w:p>
    <w:p w14:paraId="33BD7926">
      <w:pPr>
        <w:rPr>
          <w:color w:val="auto"/>
        </w:rPr>
      </w:pPr>
    </w:p>
    <w:p w14:paraId="19E8EBDA">
      <w:pPr>
        <w:rPr>
          <w:color w:val="auto"/>
        </w:rPr>
      </w:pPr>
    </w:p>
    <w:p w14:paraId="7096C769">
      <w:pPr>
        <w:rPr>
          <w:color w:val="auto"/>
        </w:rPr>
      </w:pPr>
    </w:p>
    <w:p w14:paraId="6321CA2B">
      <w:pPr>
        <w:rPr>
          <w:color w:val="auto"/>
        </w:rPr>
      </w:pPr>
    </w:p>
    <w:p w14:paraId="1EB71D7F">
      <w:pPr>
        <w:spacing w:line="360" w:lineRule="auto"/>
        <w:jc w:val="center"/>
        <w:rPr>
          <w:rFonts w:hint="eastAsia" w:ascii="华文中宋" w:hAnsi="华文中宋" w:eastAsia="华文中宋"/>
          <w:b/>
          <w:color w:val="auto"/>
          <w:sz w:val="48"/>
          <w:szCs w:val="48"/>
          <w:lang w:val="en-US" w:eastAsia="zh-CN"/>
        </w:rPr>
      </w:pPr>
      <w:r>
        <w:rPr>
          <w:rFonts w:hint="eastAsia" w:ascii="华文中宋" w:hAnsi="华文中宋" w:eastAsia="华文中宋"/>
          <w:b/>
          <w:color w:val="auto"/>
          <w:sz w:val="48"/>
          <w:szCs w:val="48"/>
          <w:lang w:val="en-US" w:eastAsia="zh-CN"/>
        </w:rPr>
        <w:t>罗源县交通国有资产投资经营有限公司</w:t>
      </w:r>
    </w:p>
    <w:p w14:paraId="7C105225">
      <w:pPr>
        <w:spacing w:line="360" w:lineRule="auto"/>
        <w:jc w:val="center"/>
        <w:rPr>
          <w:rFonts w:hint="eastAsia" w:ascii="华文中宋" w:hAnsi="华文中宋" w:eastAsia="华文中宋"/>
          <w:b/>
          <w:color w:val="auto"/>
          <w:sz w:val="48"/>
          <w:szCs w:val="48"/>
          <w:lang w:val="en-US" w:eastAsia="zh-CN"/>
        </w:rPr>
      </w:pPr>
      <w:bookmarkStart w:id="0" w:name="_Toc491792047"/>
      <w:bookmarkStart w:id="1" w:name="_Toc491785677"/>
      <w:r>
        <w:rPr>
          <w:rFonts w:hint="eastAsia" w:ascii="华文中宋" w:hAnsi="华文中宋" w:eastAsia="华文中宋"/>
          <w:b/>
          <w:color w:val="auto"/>
          <w:sz w:val="48"/>
          <w:szCs w:val="48"/>
          <w:lang w:val="en-US" w:eastAsia="zh-CN"/>
        </w:rPr>
        <w:t>福州台商投资区外联通道（迹头至台商区段）项目一期（选屿至台商区段）</w:t>
      </w:r>
    </w:p>
    <w:p w14:paraId="4596B7D7">
      <w:pPr>
        <w:spacing w:line="360" w:lineRule="auto"/>
        <w:jc w:val="center"/>
        <w:rPr>
          <w:rFonts w:eastAsia="黑体"/>
          <w:b/>
          <w:color w:val="auto"/>
          <w:kern w:val="2"/>
          <w:sz w:val="72"/>
          <w:szCs w:val="72"/>
          <w:lang w:bidi="he-IL"/>
        </w:rPr>
      </w:pPr>
      <w:r>
        <w:rPr>
          <w:rFonts w:eastAsia="黑体"/>
          <w:b/>
          <w:color w:val="auto"/>
          <w:kern w:val="2"/>
          <w:sz w:val="72"/>
          <w:szCs w:val="72"/>
          <w:lang w:bidi="he-IL"/>
        </w:rPr>
        <w:t>公众参与</w:t>
      </w:r>
      <w:bookmarkEnd w:id="0"/>
      <w:bookmarkEnd w:id="1"/>
      <w:r>
        <w:rPr>
          <w:rFonts w:eastAsia="黑体"/>
          <w:b/>
          <w:color w:val="auto"/>
          <w:kern w:val="2"/>
          <w:sz w:val="72"/>
          <w:szCs w:val="72"/>
          <w:lang w:bidi="he-IL"/>
        </w:rPr>
        <w:t>说明</w:t>
      </w:r>
    </w:p>
    <w:p w14:paraId="5380EB81">
      <w:pPr>
        <w:spacing w:line="360" w:lineRule="auto"/>
        <w:rPr>
          <w:color w:val="auto"/>
        </w:rPr>
      </w:pPr>
    </w:p>
    <w:p w14:paraId="0AA38B53">
      <w:pPr>
        <w:spacing w:line="276" w:lineRule="auto"/>
        <w:jc w:val="center"/>
        <w:rPr>
          <w:rFonts w:eastAsia="楷体"/>
          <w:b/>
          <w:bCs/>
          <w:color w:val="auto"/>
          <w:spacing w:val="10"/>
          <w:sz w:val="36"/>
          <w:szCs w:val="36"/>
        </w:rPr>
      </w:pPr>
      <w:bookmarkStart w:id="2" w:name="_Toc251925648"/>
      <w:bookmarkStart w:id="3" w:name="_Toc252040664"/>
      <w:bookmarkStart w:id="4" w:name="_Toc257794696"/>
      <w:bookmarkStart w:id="5" w:name="_Toc252566868"/>
      <w:bookmarkStart w:id="6" w:name="_Toc251925868"/>
      <w:bookmarkStart w:id="7" w:name="_Toc252137547"/>
      <w:bookmarkStart w:id="8" w:name="_Toc222665654"/>
      <w:bookmarkStart w:id="9" w:name="_Toc251926477"/>
      <w:bookmarkStart w:id="10" w:name="_Toc243837264"/>
    </w:p>
    <w:p w14:paraId="0393DD5C">
      <w:pPr>
        <w:spacing w:line="276" w:lineRule="auto"/>
        <w:jc w:val="center"/>
        <w:rPr>
          <w:rFonts w:eastAsia="楷体"/>
          <w:b/>
          <w:bCs/>
          <w:color w:val="auto"/>
          <w:spacing w:val="10"/>
          <w:sz w:val="36"/>
          <w:szCs w:val="36"/>
        </w:rPr>
      </w:pPr>
    </w:p>
    <w:p w14:paraId="42A2CDB9">
      <w:pPr>
        <w:spacing w:line="276" w:lineRule="auto"/>
        <w:jc w:val="center"/>
        <w:rPr>
          <w:rFonts w:eastAsia="楷体"/>
          <w:b/>
          <w:bCs/>
          <w:color w:val="auto"/>
          <w:spacing w:val="10"/>
          <w:sz w:val="36"/>
          <w:szCs w:val="36"/>
        </w:rPr>
      </w:pPr>
    </w:p>
    <w:p w14:paraId="64710377">
      <w:pPr>
        <w:spacing w:line="276" w:lineRule="auto"/>
        <w:jc w:val="center"/>
        <w:rPr>
          <w:rFonts w:eastAsia="楷体"/>
          <w:b/>
          <w:bCs/>
          <w:color w:val="auto"/>
          <w:spacing w:val="10"/>
          <w:sz w:val="36"/>
          <w:szCs w:val="36"/>
        </w:rPr>
      </w:pPr>
    </w:p>
    <w:p w14:paraId="2E11CAF0">
      <w:pPr>
        <w:spacing w:line="276" w:lineRule="auto"/>
        <w:jc w:val="center"/>
        <w:rPr>
          <w:rFonts w:eastAsia="楷体"/>
          <w:b/>
          <w:bCs/>
          <w:color w:val="auto"/>
          <w:spacing w:val="10"/>
          <w:sz w:val="36"/>
          <w:szCs w:val="36"/>
        </w:rPr>
      </w:pPr>
    </w:p>
    <w:p w14:paraId="24BA7170">
      <w:pPr>
        <w:spacing w:line="276" w:lineRule="auto"/>
        <w:jc w:val="center"/>
        <w:rPr>
          <w:rFonts w:eastAsia="楷体"/>
          <w:b/>
          <w:bCs/>
          <w:color w:val="auto"/>
          <w:spacing w:val="10"/>
          <w:sz w:val="36"/>
          <w:szCs w:val="36"/>
        </w:rPr>
      </w:pPr>
    </w:p>
    <w:p w14:paraId="1546BFE8">
      <w:pPr>
        <w:spacing w:line="360" w:lineRule="auto"/>
        <w:jc w:val="center"/>
        <w:rPr>
          <w:rFonts w:eastAsia="楷体"/>
          <w:b/>
          <w:bCs/>
          <w:color w:val="auto"/>
          <w:spacing w:val="10"/>
          <w:sz w:val="36"/>
          <w:szCs w:val="36"/>
        </w:rPr>
      </w:pPr>
    </w:p>
    <w:p w14:paraId="3DEB7FD9">
      <w:pPr>
        <w:spacing w:line="360" w:lineRule="auto"/>
        <w:jc w:val="center"/>
        <w:rPr>
          <w:rFonts w:eastAsia="楷体"/>
          <w:b/>
          <w:bCs/>
          <w:color w:val="auto"/>
          <w:spacing w:val="10"/>
          <w:sz w:val="36"/>
          <w:szCs w:val="36"/>
        </w:rPr>
      </w:pPr>
    </w:p>
    <w:p w14:paraId="3344899A">
      <w:pPr>
        <w:spacing w:line="360" w:lineRule="auto"/>
        <w:jc w:val="center"/>
        <w:rPr>
          <w:rFonts w:hint="eastAsia" w:ascii="黑体" w:hAnsi="黑体" w:eastAsia="黑体" w:cs="黑体"/>
          <w:b/>
          <w:bCs/>
          <w:color w:val="auto"/>
          <w:spacing w:val="10"/>
          <w:sz w:val="36"/>
          <w:szCs w:val="36"/>
        </w:rPr>
      </w:pPr>
    </w:p>
    <w:p w14:paraId="3943C018">
      <w:pPr>
        <w:widowControl/>
        <w:spacing w:line="360" w:lineRule="auto"/>
        <w:jc w:val="center"/>
        <w:rPr>
          <w:rFonts w:hint="eastAsia" w:ascii="黑体" w:hAnsi="黑体" w:eastAsia="黑体" w:cs="黑体"/>
          <w:b/>
          <w:bCs/>
          <w:color w:val="auto"/>
          <w:spacing w:val="10"/>
          <w:sz w:val="32"/>
          <w:szCs w:val="36"/>
          <w:lang w:eastAsia="zh-CN"/>
        </w:rPr>
      </w:pPr>
      <w:r>
        <w:rPr>
          <w:rFonts w:hint="eastAsia" w:ascii="黑体" w:hAnsi="黑体" w:eastAsia="黑体" w:cs="黑体"/>
          <w:b/>
          <w:bCs/>
          <w:color w:val="auto"/>
          <w:spacing w:val="10"/>
          <w:sz w:val="32"/>
          <w:szCs w:val="36"/>
          <w:lang w:val="en-US" w:eastAsia="zh-CN"/>
        </w:rPr>
        <w:t>罗源县交通国有资产投资经营有限公司</w:t>
      </w:r>
    </w:p>
    <w:p w14:paraId="0C16EAEB">
      <w:pPr>
        <w:widowControl/>
        <w:spacing w:line="360" w:lineRule="auto"/>
        <w:jc w:val="center"/>
        <w:rPr>
          <w:rFonts w:hint="eastAsia" w:ascii="黑体" w:hAnsi="黑体" w:eastAsia="黑体" w:cs="黑体"/>
          <w:color w:val="auto"/>
          <w:sz w:val="22"/>
        </w:rPr>
        <w:sectPr>
          <w:footerReference r:id="rId3" w:type="default"/>
          <w:footerReference r:id="rId4" w:type="even"/>
          <w:pgSz w:w="11906" w:h="16838"/>
          <w:pgMar w:top="1417" w:right="1417" w:bottom="1417" w:left="1417" w:header="851" w:footer="851" w:gutter="0"/>
          <w:cols w:space="425" w:num="1"/>
          <w:docGrid w:linePitch="312" w:charSpace="0"/>
        </w:sectPr>
      </w:pPr>
      <w:r>
        <w:rPr>
          <w:rFonts w:hint="eastAsia" w:ascii="黑体" w:hAnsi="黑体" w:eastAsia="黑体" w:cs="黑体"/>
          <w:b/>
          <w:bCs/>
          <w:color w:val="auto"/>
          <w:spacing w:val="10"/>
          <w:sz w:val="32"/>
          <w:szCs w:val="36"/>
          <w:lang w:eastAsia="zh-CN"/>
        </w:rPr>
        <w:t>二〇</w:t>
      </w:r>
      <w:r>
        <w:rPr>
          <w:rFonts w:hint="eastAsia" w:ascii="黑体" w:hAnsi="黑体" w:eastAsia="黑体" w:cs="黑体"/>
          <w:b/>
          <w:bCs/>
          <w:color w:val="auto"/>
          <w:spacing w:val="10"/>
          <w:sz w:val="32"/>
          <w:szCs w:val="36"/>
          <w:lang w:val="en-US" w:eastAsia="zh-CN"/>
        </w:rPr>
        <w:t>六</w:t>
      </w:r>
      <w:r>
        <w:rPr>
          <w:rFonts w:hint="eastAsia" w:ascii="黑体" w:hAnsi="黑体" w:eastAsia="黑体" w:cs="黑体"/>
          <w:b/>
          <w:bCs/>
          <w:color w:val="auto"/>
          <w:spacing w:val="10"/>
          <w:sz w:val="32"/>
          <w:szCs w:val="36"/>
        </w:rPr>
        <w:t>年</w:t>
      </w:r>
      <w:r>
        <w:rPr>
          <w:rFonts w:hint="eastAsia" w:ascii="黑体" w:hAnsi="黑体" w:eastAsia="黑体" w:cs="黑体"/>
          <w:b/>
          <w:bCs/>
          <w:color w:val="auto"/>
          <w:spacing w:val="10"/>
          <w:sz w:val="32"/>
          <w:szCs w:val="36"/>
          <w:lang w:val="en-US" w:eastAsia="zh-CN"/>
        </w:rPr>
        <w:t>七</w:t>
      </w:r>
      <w:r>
        <w:rPr>
          <w:rFonts w:hint="eastAsia" w:ascii="黑体" w:hAnsi="黑体" w:eastAsia="黑体" w:cs="黑体"/>
          <w:b/>
          <w:bCs/>
          <w:color w:val="auto"/>
          <w:spacing w:val="10"/>
          <w:sz w:val="32"/>
          <w:szCs w:val="36"/>
        </w:rPr>
        <w:t>月</w:t>
      </w:r>
    </w:p>
    <w:sdt>
      <w:sdtPr>
        <w:rPr>
          <w:rFonts w:ascii="Times New Roman" w:hAnsi="Times New Roman" w:eastAsia="宋体" w:cs="Times New Roman"/>
          <w:b w:val="0"/>
          <w:bCs w:val="0"/>
          <w:color w:val="auto"/>
          <w:sz w:val="24"/>
          <w:szCs w:val="20"/>
          <w:lang w:val="zh-CN"/>
        </w:rPr>
        <w:id w:val="1039857138"/>
        <w:docPartObj>
          <w:docPartGallery w:val="Table of Contents"/>
          <w:docPartUnique/>
        </w:docPartObj>
      </w:sdtPr>
      <w:sdtEndPr>
        <w:rPr>
          <w:rFonts w:ascii="Times New Roman" w:hAnsi="Times New Roman" w:eastAsia="宋体" w:cs="Times New Roman"/>
          <w:b w:val="0"/>
          <w:bCs w:val="0"/>
          <w:color w:val="auto"/>
          <w:sz w:val="24"/>
          <w:szCs w:val="20"/>
          <w:lang w:val="zh-CN"/>
        </w:rPr>
      </w:sdtEndPr>
      <w:sdtContent>
        <w:p w14:paraId="5844E5CA">
          <w:pPr>
            <w:keepNext w:val="0"/>
            <w:keepLines w:val="0"/>
            <w:pageBreakBefore w:val="0"/>
            <w:widowControl w:val="0"/>
            <w:kinsoku/>
            <w:wordWrap/>
            <w:overflowPunct/>
            <w:topLinePunct w:val="0"/>
            <w:autoSpaceDE/>
            <w:autoSpaceDN/>
            <w:bidi w:val="0"/>
            <w:adjustRightInd/>
            <w:snapToGrid/>
            <w:spacing w:before="313" w:beforeLines="100" w:line="384" w:lineRule="auto"/>
            <w:jc w:val="center"/>
            <w:textAlignment w:val="auto"/>
            <w:rPr>
              <w:rFonts w:ascii="Times New Roman" w:hAnsi="Times New Roman" w:cs="Times New Roman"/>
              <w:b/>
              <w:bCs/>
              <w:color w:val="auto"/>
              <w:sz w:val="32"/>
            </w:rPr>
          </w:pPr>
          <w:r>
            <w:rPr>
              <w:rFonts w:ascii="Times New Roman" w:hAnsi="Times New Roman" w:cs="Times New Roman"/>
              <w:b/>
              <w:bCs/>
              <w:color w:val="auto"/>
              <w:sz w:val="32"/>
              <w:lang w:val="zh-CN"/>
            </w:rPr>
            <w:t>目   录</w:t>
          </w:r>
        </w:p>
        <w:p w14:paraId="0F53B7AA">
          <w:pPr>
            <w:pStyle w:val="21"/>
            <w:keepNext w:val="0"/>
            <w:keepLines w:val="0"/>
            <w:pageBreakBefore w:val="0"/>
            <w:widowControl w:val="0"/>
            <w:tabs>
              <w:tab w:val="right" w:leader="dot" w:pos="9298"/>
            </w:tabs>
            <w:kinsoku/>
            <w:wordWrap/>
            <w:overflowPunct/>
            <w:topLinePunct w:val="0"/>
            <w:autoSpaceDE/>
            <w:autoSpaceDN/>
            <w:bidi w:val="0"/>
            <w:adjustRightInd/>
            <w:snapToGrid/>
            <w:spacing w:line="432" w:lineRule="auto"/>
            <w:textAlignment w:val="auto"/>
            <w:rPr>
              <w:b/>
              <w:bCs/>
              <w:color w:val="auto"/>
            </w:rPr>
          </w:pPr>
          <w:r>
            <w:rPr>
              <w:color w:val="auto"/>
            </w:rPr>
            <w:fldChar w:fldCharType="begin"/>
          </w:r>
          <w:r>
            <w:rPr>
              <w:color w:val="auto"/>
            </w:rPr>
            <w:instrText xml:space="preserve"> TOC \o "1-3" \h \z \u </w:instrText>
          </w:r>
          <w:r>
            <w:rPr>
              <w:color w:val="auto"/>
            </w:rPr>
            <w:fldChar w:fldCharType="separate"/>
          </w:r>
          <w:r>
            <w:rPr>
              <w:b/>
              <w:bCs/>
              <w:color w:val="auto"/>
            </w:rPr>
            <w:fldChar w:fldCharType="begin"/>
          </w:r>
          <w:r>
            <w:rPr>
              <w:b/>
              <w:bCs/>
              <w:color w:val="auto"/>
            </w:rPr>
            <w:instrText xml:space="preserve"> HYPERLINK \l _Toc13156 </w:instrText>
          </w:r>
          <w:r>
            <w:rPr>
              <w:b/>
              <w:bCs/>
              <w:color w:val="auto"/>
            </w:rPr>
            <w:fldChar w:fldCharType="separate"/>
          </w:r>
          <w:r>
            <w:rPr>
              <w:rFonts w:hint="default" w:ascii="Times New Roman" w:hAnsi="Times New Roman" w:eastAsia="宋体" w:cs="Times New Roman"/>
              <w:b/>
              <w:bCs/>
              <w:color w:val="auto"/>
            </w:rPr>
            <w:t xml:space="preserve">1 </w:t>
          </w:r>
          <w:r>
            <w:rPr>
              <w:b/>
              <w:bCs/>
              <w:color w:val="auto"/>
            </w:rPr>
            <w:t>概述</w:t>
          </w:r>
          <w:r>
            <w:rPr>
              <w:b/>
              <w:bCs/>
              <w:color w:val="auto"/>
            </w:rPr>
            <w:tab/>
          </w:r>
          <w:r>
            <w:rPr>
              <w:b/>
              <w:bCs/>
              <w:color w:val="auto"/>
            </w:rPr>
            <w:fldChar w:fldCharType="begin"/>
          </w:r>
          <w:r>
            <w:rPr>
              <w:b/>
              <w:bCs/>
              <w:color w:val="auto"/>
            </w:rPr>
            <w:instrText xml:space="preserve"> PAGEREF _Toc13156 \h </w:instrText>
          </w:r>
          <w:r>
            <w:rPr>
              <w:b/>
              <w:bCs/>
              <w:color w:val="auto"/>
            </w:rPr>
            <w:fldChar w:fldCharType="separate"/>
          </w:r>
          <w:r>
            <w:rPr>
              <w:b/>
              <w:bCs/>
              <w:color w:val="auto"/>
            </w:rPr>
            <w:t>1</w:t>
          </w:r>
          <w:r>
            <w:rPr>
              <w:b/>
              <w:bCs/>
              <w:color w:val="auto"/>
            </w:rPr>
            <w:fldChar w:fldCharType="end"/>
          </w:r>
          <w:r>
            <w:rPr>
              <w:b/>
              <w:bCs/>
              <w:color w:val="auto"/>
            </w:rPr>
            <w:fldChar w:fldCharType="end"/>
          </w:r>
        </w:p>
        <w:p w14:paraId="39D236E2">
          <w:pPr>
            <w:pStyle w:val="21"/>
            <w:keepNext w:val="0"/>
            <w:keepLines w:val="0"/>
            <w:pageBreakBefore w:val="0"/>
            <w:widowControl w:val="0"/>
            <w:tabs>
              <w:tab w:val="right" w:leader="dot" w:pos="9298"/>
            </w:tabs>
            <w:kinsoku/>
            <w:wordWrap/>
            <w:overflowPunct/>
            <w:topLinePunct w:val="0"/>
            <w:autoSpaceDE/>
            <w:autoSpaceDN/>
            <w:bidi w:val="0"/>
            <w:adjustRightInd/>
            <w:snapToGrid/>
            <w:spacing w:line="432" w:lineRule="auto"/>
            <w:textAlignment w:val="auto"/>
            <w:rPr>
              <w:b/>
              <w:bCs/>
              <w:color w:val="auto"/>
            </w:rPr>
          </w:pPr>
          <w:r>
            <w:rPr>
              <w:b/>
              <w:bCs/>
              <w:color w:val="auto"/>
              <w:lang w:val="zh-CN"/>
            </w:rPr>
            <w:fldChar w:fldCharType="begin"/>
          </w:r>
          <w:r>
            <w:rPr>
              <w:b/>
              <w:bCs/>
              <w:color w:val="auto"/>
              <w:lang w:val="zh-CN"/>
            </w:rPr>
            <w:instrText xml:space="preserve"> HYPERLINK \l _Toc11788 </w:instrText>
          </w:r>
          <w:r>
            <w:rPr>
              <w:b/>
              <w:bCs/>
              <w:color w:val="auto"/>
              <w:lang w:val="zh-CN"/>
            </w:rPr>
            <w:fldChar w:fldCharType="separate"/>
          </w:r>
          <w:r>
            <w:rPr>
              <w:rFonts w:hint="default" w:ascii="Times New Roman" w:hAnsi="Times New Roman" w:eastAsia="宋体" w:cs="Times New Roman"/>
              <w:b/>
              <w:bCs/>
              <w:color w:val="auto"/>
            </w:rPr>
            <w:t xml:space="preserve">2 </w:t>
          </w:r>
          <w:r>
            <w:rPr>
              <w:b/>
              <w:bCs/>
              <w:color w:val="auto"/>
            </w:rPr>
            <w:t>首次环境影响评价信息公开情况</w:t>
          </w:r>
          <w:r>
            <w:rPr>
              <w:b/>
              <w:bCs/>
              <w:color w:val="auto"/>
            </w:rPr>
            <w:tab/>
          </w:r>
          <w:r>
            <w:rPr>
              <w:b/>
              <w:bCs/>
              <w:color w:val="auto"/>
            </w:rPr>
            <w:fldChar w:fldCharType="begin"/>
          </w:r>
          <w:r>
            <w:rPr>
              <w:b/>
              <w:bCs/>
              <w:color w:val="auto"/>
            </w:rPr>
            <w:instrText xml:space="preserve"> PAGEREF _Toc11788 \h </w:instrText>
          </w:r>
          <w:r>
            <w:rPr>
              <w:b/>
              <w:bCs/>
              <w:color w:val="auto"/>
            </w:rPr>
            <w:fldChar w:fldCharType="separate"/>
          </w:r>
          <w:r>
            <w:rPr>
              <w:b/>
              <w:bCs/>
              <w:color w:val="auto"/>
            </w:rPr>
            <w:t>2</w:t>
          </w:r>
          <w:r>
            <w:rPr>
              <w:b/>
              <w:bCs/>
              <w:color w:val="auto"/>
            </w:rPr>
            <w:fldChar w:fldCharType="end"/>
          </w:r>
          <w:r>
            <w:rPr>
              <w:b/>
              <w:bCs/>
              <w:color w:val="auto"/>
              <w:lang w:val="zh-CN"/>
            </w:rPr>
            <w:fldChar w:fldCharType="end"/>
          </w:r>
        </w:p>
        <w:p w14:paraId="7DC794C8">
          <w:pPr>
            <w:pStyle w:val="21"/>
            <w:keepNext w:val="0"/>
            <w:keepLines w:val="0"/>
            <w:pageBreakBefore w:val="0"/>
            <w:widowControl w:val="0"/>
            <w:tabs>
              <w:tab w:val="right" w:leader="dot" w:pos="9298"/>
            </w:tabs>
            <w:kinsoku/>
            <w:wordWrap/>
            <w:overflowPunct/>
            <w:topLinePunct w:val="0"/>
            <w:autoSpaceDE/>
            <w:autoSpaceDN/>
            <w:bidi w:val="0"/>
            <w:adjustRightInd/>
            <w:snapToGrid/>
            <w:spacing w:line="432" w:lineRule="auto"/>
            <w:textAlignment w:val="auto"/>
            <w:rPr>
              <w:b/>
              <w:bCs/>
              <w:color w:val="auto"/>
            </w:rPr>
          </w:pPr>
          <w:r>
            <w:rPr>
              <w:b/>
              <w:bCs/>
              <w:color w:val="auto"/>
              <w:lang w:val="zh-CN"/>
            </w:rPr>
            <w:fldChar w:fldCharType="begin"/>
          </w:r>
          <w:r>
            <w:rPr>
              <w:b/>
              <w:bCs/>
              <w:color w:val="auto"/>
              <w:lang w:val="zh-CN"/>
            </w:rPr>
            <w:instrText xml:space="preserve"> HYPERLINK \l _Toc19849 </w:instrText>
          </w:r>
          <w:r>
            <w:rPr>
              <w:b/>
              <w:bCs/>
              <w:color w:val="auto"/>
              <w:lang w:val="zh-CN"/>
            </w:rPr>
            <w:fldChar w:fldCharType="separate"/>
          </w:r>
          <w:r>
            <w:rPr>
              <w:rFonts w:hint="default" w:ascii="Times New Roman" w:hAnsi="Times New Roman" w:eastAsia="宋体" w:cs="Times New Roman"/>
              <w:b/>
              <w:bCs/>
              <w:color w:val="auto"/>
            </w:rPr>
            <w:t xml:space="preserve">3 </w:t>
          </w:r>
          <w:r>
            <w:rPr>
              <w:b/>
              <w:bCs/>
              <w:color w:val="auto"/>
            </w:rPr>
            <w:t>征求意见稿公示情况</w:t>
          </w:r>
          <w:r>
            <w:rPr>
              <w:b/>
              <w:bCs/>
              <w:color w:val="auto"/>
            </w:rPr>
            <w:tab/>
          </w:r>
          <w:r>
            <w:rPr>
              <w:b/>
              <w:bCs/>
              <w:color w:val="auto"/>
            </w:rPr>
            <w:fldChar w:fldCharType="begin"/>
          </w:r>
          <w:r>
            <w:rPr>
              <w:b/>
              <w:bCs/>
              <w:color w:val="auto"/>
            </w:rPr>
            <w:instrText xml:space="preserve"> PAGEREF _Toc19849 \h </w:instrText>
          </w:r>
          <w:r>
            <w:rPr>
              <w:b/>
              <w:bCs/>
              <w:color w:val="auto"/>
            </w:rPr>
            <w:fldChar w:fldCharType="separate"/>
          </w:r>
          <w:r>
            <w:rPr>
              <w:b/>
              <w:bCs/>
              <w:color w:val="auto"/>
            </w:rPr>
            <w:t>4</w:t>
          </w:r>
          <w:r>
            <w:rPr>
              <w:b/>
              <w:bCs/>
              <w:color w:val="auto"/>
            </w:rPr>
            <w:fldChar w:fldCharType="end"/>
          </w:r>
          <w:r>
            <w:rPr>
              <w:b/>
              <w:bCs/>
              <w:color w:val="auto"/>
              <w:lang w:val="zh-CN"/>
            </w:rPr>
            <w:fldChar w:fldCharType="end"/>
          </w:r>
        </w:p>
        <w:p w14:paraId="00AFCF1C">
          <w:pPr>
            <w:pStyle w:val="24"/>
            <w:keepNext w:val="0"/>
            <w:keepLines w:val="0"/>
            <w:pageBreakBefore w:val="0"/>
            <w:widowControl w:val="0"/>
            <w:tabs>
              <w:tab w:val="right" w:leader="dot" w:pos="9298"/>
            </w:tabs>
            <w:kinsoku/>
            <w:wordWrap/>
            <w:overflowPunct/>
            <w:topLinePunct w:val="0"/>
            <w:autoSpaceDE/>
            <w:autoSpaceDN/>
            <w:bidi w:val="0"/>
            <w:adjustRightInd/>
            <w:snapToGrid/>
            <w:spacing w:line="432" w:lineRule="auto"/>
            <w:textAlignment w:val="auto"/>
            <w:rPr>
              <w:color w:val="auto"/>
            </w:rPr>
          </w:pPr>
          <w:r>
            <w:rPr>
              <w:color w:val="auto"/>
              <w:lang w:val="zh-CN"/>
            </w:rPr>
            <w:fldChar w:fldCharType="begin"/>
          </w:r>
          <w:r>
            <w:rPr>
              <w:color w:val="auto"/>
              <w:lang w:val="zh-CN"/>
            </w:rPr>
            <w:instrText xml:space="preserve"> HYPERLINK \l _Toc9638 </w:instrText>
          </w:r>
          <w:r>
            <w:rPr>
              <w:color w:val="auto"/>
              <w:lang w:val="zh-CN"/>
            </w:rPr>
            <w:fldChar w:fldCharType="separate"/>
          </w:r>
          <w:r>
            <w:rPr>
              <w:rFonts w:hint="default" w:ascii="Times New Roman" w:hAnsi="Times New Roman" w:eastAsia="宋体" w:cs="Times New Roman"/>
              <w:bCs w:val="0"/>
              <w:i w:val="0"/>
              <w:iCs w:val="0"/>
              <w:caps w:val="0"/>
              <w:smallCaps w:val="0"/>
              <w:strike w:val="0"/>
              <w:dstrike w:val="0"/>
              <w:outline w:val="0"/>
              <w:shadow w:val="0"/>
              <w:emboss w:val="0"/>
              <w:imprint w:val="0"/>
              <w:vanish w:val="0"/>
              <w:color w:val="auto"/>
              <w:spacing w:val="0"/>
              <w:kern w:val="0"/>
              <w:position w:val="0"/>
              <w:vertAlign w:val="baseline"/>
            </w:rPr>
            <w:t xml:space="preserve">3.1 </w:t>
          </w:r>
          <w:r>
            <w:rPr>
              <w:color w:val="auto"/>
            </w:rPr>
            <w:t>公示内容及时限</w:t>
          </w:r>
          <w:r>
            <w:rPr>
              <w:color w:val="auto"/>
            </w:rPr>
            <w:tab/>
          </w:r>
          <w:r>
            <w:rPr>
              <w:color w:val="auto"/>
            </w:rPr>
            <w:fldChar w:fldCharType="begin"/>
          </w:r>
          <w:r>
            <w:rPr>
              <w:color w:val="auto"/>
            </w:rPr>
            <w:instrText xml:space="preserve"> PAGEREF _Toc9638 \h </w:instrText>
          </w:r>
          <w:r>
            <w:rPr>
              <w:color w:val="auto"/>
            </w:rPr>
            <w:fldChar w:fldCharType="separate"/>
          </w:r>
          <w:r>
            <w:rPr>
              <w:color w:val="auto"/>
            </w:rPr>
            <w:t>4</w:t>
          </w:r>
          <w:r>
            <w:rPr>
              <w:color w:val="auto"/>
            </w:rPr>
            <w:fldChar w:fldCharType="end"/>
          </w:r>
          <w:r>
            <w:rPr>
              <w:color w:val="auto"/>
              <w:lang w:val="zh-CN"/>
            </w:rPr>
            <w:fldChar w:fldCharType="end"/>
          </w:r>
        </w:p>
        <w:p w14:paraId="72F54D4D">
          <w:pPr>
            <w:pStyle w:val="24"/>
            <w:keepNext w:val="0"/>
            <w:keepLines w:val="0"/>
            <w:pageBreakBefore w:val="0"/>
            <w:widowControl w:val="0"/>
            <w:tabs>
              <w:tab w:val="right" w:leader="dot" w:pos="9298"/>
            </w:tabs>
            <w:kinsoku/>
            <w:wordWrap/>
            <w:overflowPunct/>
            <w:topLinePunct w:val="0"/>
            <w:autoSpaceDE/>
            <w:autoSpaceDN/>
            <w:bidi w:val="0"/>
            <w:adjustRightInd/>
            <w:snapToGrid/>
            <w:spacing w:line="432" w:lineRule="auto"/>
            <w:textAlignment w:val="auto"/>
            <w:rPr>
              <w:color w:val="auto"/>
            </w:rPr>
          </w:pPr>
          <w:r>
            <w:rPr>
              <w:color w:val="auto"/>
              <w:lang w:val="zh-CN"/>
            </w:rPr>
            <w:fldChar w:fldCharType="begin"/>
          </w:r>
          <w:r>
            <w:rPr>
              <w:color w:val="auto"/>
              <w:lang w:val="zh-CN"/>
            </w:rPr>
            <w:instrText xml:space="preserve"> HYPERLINK \l _Toc2759 </w:instrText>
          </w:r>
          <w:r>
            <w:rPr>
              <w:color w:val="auto"/>
              <w:lang w:val="zh-CN"/>
            </w:rPr>
            <w:fldChar w:fldCharType="separate"/>
          </w:r>
          <w:r>
            <w:rPr>
              <w:rFonts w:hint="default" w:ascii="Times New Roman" w:hAnsi="Times New Roman" w:eastAsia="宋体" w:cs="Times New Roman"/>
              <w:bCs w:val="0"/>
              <w:i w:val="0"/>
              <w:iCs w:val="0"/>
              <w:caps w:val="0"/>
              <w:smallCaps w:val="0"/>
              <w:strike w:val="0"/>
              <w:dstrike w:val="0"/>
              <w:outline w:val="0"/>
              <w:shadow w:val="0"/>
              <w:emboss w:val="0"/>
              <w:imprint w:val="0"/>
              <w:vanish w:val="0"/>
              <w:color w:val="auto"/>
              <w:spacing w:val="0"/>
              <w:kern w:val="0"/>
              <w:position w:val="0"/>
              <w:vertAlign w:val="baseline"/>
            </w:rPr>
            <w:t xml:space="preserve">3.2 </w:t>
          </w:r>
          <w:r>
            <w:rPr>
              <w:rFonts w:eastAsia="宋体"/>
              <w:color w:val="auto"/>
            </w:rPr>
            <w:t>公示方式</w:t>
          </w:r>
          <w:r>
            <w:rPr>
              <w:color w:val="auto"/>
            </w:rPr>
            <w:tab/>
          </w:r>
          <w:r>
            <w:rPr>
              <w:color w:val="auto"/>
            </w:rPr>
            <w:fldChar w:fldCharType="begin"/>
          </w:r>
          <w:r>
            <w:rPr>
              <w:color w:val="auto"/>
            </w:rPr>
            <w:instrText xml:space="preserve"> PAGEREF _Toc2759 \h </w:instrText>
          </w:r>
          <w:r>
            <w:rPr>
              <w:color w:val="auto"/>
            </w:rPr>
            <w:fldChar w:fldCharType="separate"/>
          </w:r>
          <w:r>
            <w:rPr>
              <w:color w:val="auto"/>
            </w:rPr>
            <w:t>4</w:t>
          </w:r>
          <w:r>
            <w:rPr>
              <w:color w:val="auto"/>
            </w:rPr>
            <w:fldChar w:fldCharType="end"/>
          </w:r>
          <w:r>
            <w:rPr>
              <w:color w:val="auto"/>
              <w:lang w:val="zh-CN"/>
            </w:rPr>
            <w:fldChar w:fldCharType="end"/>
          </w:r>
        </w:p>
        <w:p w14:paraId="0E859361">
          <w:pPr>
            <w:pStyle w:val="24"/>
            <w:keepNext w:val="0"/>
            <w:keepLines w:val="0"/>
            <w:pageBreakBefore w:val="0"/>
            <w:widowControl w:val="0"/>
            <w:tabs>
              <w:tab w:val="right" w:leader="dot" w:pos="9298"/>
            </w:tabs>
            <w:kinsoku/>
            <w:wordWrap/>
            <w:overflowPunct/>
            <w:topLinePunct w:val="0"/>
            <w:autoSpaceDE/>
            <w:autoSpaceDN/>
            <w:bidi w:val="0"/>
            <w:adjustRightInd/>
            <w:snapToGrid/>
            <w:spacing w:line="432" w:lineRule="auto"/>
            <w:textAlignment w:val="auto"/>
            <w:rPr>
              <w:color w:val="auto"/>
            </w:rPr>
          </w:pPr>
          <w:r>
            <w:rPr>
              <w:color w:val="auto"/>
              <w:lang w:val="zh-CN"/>
            </w:rPr>
            <w:fldChar w:fldCharType="begin"/>
          </w:r>
          <w:r>
            <w:rPr>
              <w:color w:val="auto"/>
              <w:lang w:val="zh-CN"/>
            </w:rPr>
            <w:instrText xml:space="preserve"> HYPERLINK \l _Toc28661 </w:instrText>
          </w:r>
          <w:r>
            <w:rPr>
              <w:color w:val="auto"/>
              <w:lang w:val="zh-CN"/>
            </w:rPr>
            <w:fldChar w:fldCharType="separate"/>
          </w:r>
          <w:r>
            <w:rPr>
              <w:rFonts w:hint="default" w:ascii="Times New Roman" w:hAnsi="Times New Roman" w:eastAsia="宋体" w:cs="Times New Roman"/>
              <w:bCs w:val="0"/>
              <w:i w:val="0"/>
              <w:iCs w:val="0"/>
              <w:caps w:val="0"/>
              <w:smallCaps w:val="0"/>
              <w:strike w:val="0"/>
              <w:dstrike w:val="0"/>
              <w:outline w:val="0"/>
              <w:shadow w:val="0"/>
              <w:emboss w:val="0"/>
              <w:imprint w:val="0"/>
              <w:vanish w:val="0"/>
              <w:color w:val="auto"/>
              <w:spacing w:val="0"/>
              <w:kern w:val="0"/>
              <w:position w:val="0"/>
              <w:vertAlign w:val="baseline"/>
            </w:rPr>
            <w:t xml:space="preserve">3.3 </w:t>
          </w:r>
          <w:r>
            <w:rPr>
              <w:color w:val="auto"/>
            </w:rPr>
            <w:t>查阅情况</w:t>
          </w:r>
          <w:r>
            <w:rPr>
              <w:color w:val="auto"/>
            </w:rPr>
            <w:tab/>
          </w:r>
          <w:r>
            <w:rPr>
              <w:color w:val="auto"/>
            </w:rPr>
            <w:fldChar w:fldCharType="begin"/>
          </w:r>
          <w:r>
            <w:rPr>
              <w:color w:val="auto"/>
            </w:rPr>
            <w:instrText xml:space="preserve"> PAGEREF _Toc28661 \h </w:instrText>
          </w:r>
          <w:r>
            <w:rPr>
              <w:color w:val="auto"/>
            </w:rPr>
            <w:fldChar w:fldCharType="separate"/>
          </w:r>
          <w:r>
            <w:rPr>
              <w:color w:val="auto"/>
            </w:rPr>
            <w:t>5</w:t>
          </w:r>
          <w:r>
            <w:rPr>
              <w:color w:val="auto"/>
            </w:rPr>
            <w:fldChar w:fldCharType="end"/>
          </w:r>
          <w:r>
            <w:rPr>
              <w:color w:val="auto"/>
              <w:lang w:val="zh-CN"/>
            </w:rPr>
            <w:fldChar w:fldCharType="end"/>
          </w:r>
        </w:p>
        <w:p w14:paraId="52FDD815">
          <w:pPr>
            <w:pStyle w:val="24"/>
            <w:keepNext w:val="0"/>
            <w:keepLines w:val="0"/>
            <w:pageBreakBefore w:val="0"/>
            <w:widowControl w:val="0"/>
            <w:tabs>
              <w:tab w:val="right" w:leader="dot" w:pos="9298"/>
            </w:tabs>
            <w:kinsoku/>
            <w:wordWrap/>
            <w:overflowPunct/>
            <w:topLinePunct w:val="0"/>
            <w:autoSpaceDE/>
            <w:autoSpaceDN/>
            <w:bidi w:val="0"/>
            <w:adjustRightInd/>
            <w:snapToGrid/>
            <w:spacing w:line="432" w:lineRule="auto"/>
            <w:textAlignment w:val="auto"/>
            <w:rPr>
              <w:color w:val="auto"/>
            </w:rPr>
          </w:pPr>
          <w:r>
            <w:rPr>
              <w:color w:val="auto"/>
              <w:lang w:val="zh-CN"/>
            </w:rPr>
            <w:fldChar w:fldCharType="begin"/>
          </w:r>
          <w:r>
            <w:rPr>
              <w:color w:val="auto"/>
              <w:lang w:val="zh-CN"/>
            </w:rPr>
            <w:instrText xml:space="preserve"> HYPERLINK \l _Toc27232 </w:instrText>
          </w:r>
          <w:r>
            <w:rPr>
              <w:color w:val="auto"/>
              <w:lang w:val="zh-CN"/>
            </w:rPr>
            <w:fldChar w:fldCharType="separate"/>
          </w:r>
          <w:r>
            <w:rPr>
              <w:rFonts w:hint="default" w:ascii="Times New Roman" w:hAnsi="Times New Roman" w:eastAsia="宋体" w:cs="Times New Roman"/>
              <w:bCs w:val="0"/>
              <w:i w:val="0"/>
              <w:iCs w:val="0"/>
              <w:caps w:val="0"/>
              <w:smallCaps w:val="0"/>
              <w:strike w:val="0"/>
              <w:dstrike w:val="0"/>
              <w:outline w:val="0"/>
              <w:shadow w:val="0"/>
              <w:emboss w:val="0"/>
              <w:imprint w:val="0"/>
              <w:vanish w:val="0"/>
              <w:color w:val="auto"/>
              <w:spacing w:val="0"/>
              <w:kern w:val="0"/>
              <w:position w:val="0"/>
              <w:vertAlign w:val="baseline"/>
            </w:rPr>
            <w:t xml:space="preserve">3.4 </w:t>
          </w:r>
          <w:r>
            <w:rPr>
              <w:rFonts w:eastAsia="宋体"/>
              <w:color w:val="auto"/>
            </w:rPr>
            <w:t>公众提出意见情况</w:t>
          </w:r>
          <w:r>
            <w:rPr>
              <w:color w:val="auto"/>
            </w:rPr>
            <w:tab/>
          </w:r>
          <w:r>
            <w:rPr>
              <w:color w:val="auto"/>
            </w:rPr>
            <w:fldChar w:fldCharType="begin"/>
          </w:r>
          <w:r>
            <w:rPr>
              <w:color w:val="auto"/>
            </w:rPr>
            <w:instrText xml:space="preserve"> PAGEREF _Toc27232 \h </w:instrText>
          </w:r>
          <w:r>
            <w:rPr>
              <w:color w:val="auto"/>
            </w:rPr>
            <w:fldChar w:fldCharType="separate"/>
          </w:r>
          <w:r>
            <w:rPr>
              <w:color w:val="auto"/>
            </w:rPr>
            <w:t>5</w:t>
          </w:r>
          <w:r>
            <w:rPr>
              <w:color w:val="auto"/>
            </w:rPr>
            <w:fldChar w:fldCharType="end"/>
          </w:r>
          <w:r>
            <w:rPr>
              <w:color w:val="auto"/>
              <w:lang w:val="zh-CN"/>
            </w:rPr>
            <w:fldChar w:fldCharType="end"/>
          </w:r>
        </w:p>
        <w:p w14:paraId="52BFB5C3">
          <w:pPr>
            <w:pStyle w:val="21"/>
            <w:keepNext w:val="0"/>
            <w:keepLines w:val="0"/>
            <w:pageBreakBefore w:val="0"/>
            <w:widowControl w:val="0"/>
            <w:tabs>
              <w:tab w:val="right" w:leader="dot" w:pos="9298"/>
            </w:tabs>
            <w:kinsoku/>
            <w:wordWrap/>
            <w:overflowPunct/>
            <w:topLinePunct w:val="0"/>
            <w:autoSpaceDE/>
            <w:autoSpaceDN/>
            <w:bidi w:val="0"/>
            <w:adjustRightInd/>
            <w:snapToGrid/>
            <w:spacing w:line="432" w:lineRule="auto"/>
            <w:textAlignment w:val="auto"/>
            <w:rPr>
              <w:b/>
              <w:bCs/>
              <w:color w:val="auto"/>
            </w:rPr>
          </w:pPr>
          <w:r>
            <w:rPr>
              <w:b/>
              <w:bCs/>
              <w:color w:val="auto"/>
              <w:lang w:val="zh-CN"/>
            </w:rPr>
            <w:fldChar w:fldCharType="begin"/>
          </w:r>
          <w:r>
            <w:rPr>
              <w:b/>
              <w:bCs/>
              <w:color w:val="auto"/>
              <w:lang w:val="zh-CN"/>
            </w:rPr>
            <w:instrText xml:space="preserve"> HYPERLINK \l _Toc30335 </w:instrText>
          </w:r>
          <w:r>
            <w:rPr>
              <w:b/>
              <w:bCs/>
              <w:color w:val="auto"/>
              <w:lang w:val="zh-CN"/>
            </w:rPr>
            <w:fldChar w:fldCharType="separate"/>
          </w:r>
          <w:r>
            <w:rPr>
              <w:rFonts w:hint="eastAsia" w:cs="Times New Roman"/>
              <w:b/>
              <w:bCs/>
              <w:color w:val="auto"/>
              <w:lang w:val="en-US" w:eastAsia="zh-CN"/>
            </w:rPr>
            <w:t>4</w:t>
          </w:r>
          <w:r>
            <w:rPr>
              <w:rFonts w:hint="default" w:ascii="Times New Roman" w:hAnsi="Times New Roman" w:eastAsia="宋体" w:cs="Times New Roman"/>
              <w:b/>
              <w:bCs/>
              <w:color w:val="auto"/>
            </w:rPr>
            <w:t xml:space="preserve"> </w:t>
          </w:r>
          <w:r>
            <w:rPr>
              <w:b/>
              <w:bCs/>
              <w:color w:val="auto"/>
            </w:rPr>
            <w:t>公众意见处理情况</w:t>
          </w:r>
          <w:r>
            <w:rPr>
              <w:b/>
              <w:bCs/>
              <w:color w:val="auto"/>
            </w:rPr>
            <w:tab/>
          </w:r>
          <w:r>
            <w:rPr>
              <w:rFonts w:hint="eastAsia"/>
              <w:b/>
              <w:bCs/>
              <w:color w:val="auto"/>
              <w:lang w:val="en-US" w:eastAsia="zh-CN"/>
            </w:rPr>
            <w:t>9</w:t>
          </w:r>
          <w:r>
            <w:rPr>
              <w:b/>
              <w:bCs/>
              <w:color w:val="auto"/>
              <w:lang w:val="zh-CN"/>
            </w:rPr>
            <w:fldChar w:fldCharType="end"/>
          </w:r>
        </w:p>
        <w:p w14:paraId="7923ECAE">
          <w:pPr>
            <w:pStyle w:val="21"/>
            <w:keepNext w:val="0"/>
            <w:keepLines w:val="0"/>
            <w:pageBreakBefore w:val="0"/>
            <w:widowControl w:val="0"/>
            <w:tabs>
              <w:tab w:val="right" w:leader="dot" w:pos="9298"/>
            </w:tabs>
            <w:kinsoku/>
            <w:wordWrap/>
            <w:overflowPunct/>
            <w:topLinePunct w:val="0"/>
            <w:autoSpaceDE/>
            <w:autoSpaceDN/>
            <w:bidi w:val="0"/>
            <w:adjustRightInd/>
            <w:snapToGrid/>
            <w:spacing w:line="432" w:lineRule="auto"/>
            <w:textAlignment w:val="auto"/>
            <w:rPr>
              <w:b/>
              <w:bCs/>
              <w:color w:val="auto"/>
            </w:rPr>
          </w:pPr>
          <w:r>
            <w:rPr>
              <w:b/>
              <w:bCs/>
              <w:color w:val="auto"/>
              <w:lang w:val="zh-CN"/>
            </w:rPr>
            <w:fldChar w:fldCharType="begin"/>
          </w:r>
          <w:r>
            <w:rPr>
              <w:b/>
              <w:bCs/>
              <w:color w:val="auto"/>
              <w:lang w:val="zh-CN"/>
            </w:rPr>
            <w:instrText xml:space="preserve"> HYPERLINK \l _Toc2338 </w:instrText>
          </w:r>
          <w:r>
            <w:rPr>
              <w:b/>
              <w:bCs/>
              <w:color w:val="auto"/>
              <w:lang w:val="zh-CN"/>
            </w:rPr>
            <w:fldChar w:fldCharType="separate"/>
          </w:r>
          <w:r>
            <w:rPr>
              <w:rFonts w:hint="eastAsia" w:cs="Times New Roman"/>
              <w:b/>
              <w:bCs/>
              <w:color w:val="auto"/>
              <w:lang w:val="en-US" w:eastAsia="zh-CN"/>
            </w:rPr>
            <w:t>5</w:t>
          </w:r>
          <w:r>
            <w:rPr>
              <w:rFonts w:hint="default" w:ascii="Times New Roman" w:hAnsi="Times New Roman" w:eastAsia="宋体" w:cs="Times New Roman"/>
              <w:b/>
              <w:bCs/>
              <w:color w:val="auto"/>
            </w:rPr>
            <w:t xml:space="preserve"> </w:t>
          </w:r>
          <w:r>
            <w:rPr>
              <w:b/>
              <w:bCs/>
              <w:color w:val="auto"/>
            </w:rPr>
            <w:t>诚信承诺</w:t>
          </w:r>
          <w:r>
            <w:rPr>
              <w:b/>
              <w:bCs/>
              <w:color w:val="auto"/>
            </w:rPr>
            <w:tab/>
          </w:r>
          <w:r>
            <w:rPr>
              <w:rFonts w:hint="eastAsia"/>
              <w:b/>
              <w:bCs/>
              <w:color w:val="auto"/>
              <w:lang w:val="en-US" w:eastAsia="zh-CN"/>
            </w:rPr>
            <w:t>9</w:t>
          </w:r>
          <w:r>
            <w:rPr>
              <w:b/>
              <w:bCs/>
              <w:color w:val="auto"/>
              <w:lang w:val="zh-CN"/>
            </w:rPr>
            <w:fldChar w:fldCharType="end"/>
          </w:r>
        </w:p>
        <w:p w14:paraId="19C84055">
          <w:pPr>
            <w:keepNext w:val="0"/>
            <w:keepLines w:val="0"/>
            <w:pageBreakBefore w:val="0"/>
            <w:widowControl w:val="0"/>
            <w:tabs>
              <w:tab w:val="left" w:pos="3952"/>
            </w:tabs>
            <w:kinsoku/>
            <w:wordWrap/>
            <w:overflowPunct/>
            <w:topLinePunct w:val="0"/>
            <w:autoSpaceDE/>
            <w:autoSpaceDN/>
            <w:bidi w:val="0"/>
            <w:adjustRightInd/>
            <w:snapToGrid/>
            <w:spacing w:line="432" w:lineRule="auto"/>
            <w:textAlignment w:val="auto"/>
            <w:rPr>
              <w:color w:val="auto"/>
            </w:rPr>
          </w:pPr>
          <w:r>
            <w:rPr>
              <w:color w:val="auto"/>
              <w:lang w:val="zh-CN"/>
            </w:rPr>
            <w:fldChar w:fldCharType="end"/>
          </w:r>
        </w:p>
      </w:sdtContent>
    </w:sdt>
    <w:p w14:paraId="0FA8254B">
      <w:pPr>
        <w:ind w:firstLine="480"/>
        <w:rPr>
          <w:color w:val="auto"/>
        </w:rPr>
        <w:sectPr>
          <w:footerReference r:id="rId5" w:type="default"/>
          <w:pgSz w:w="11906" w:h="16838"/>
          <w:pgMar w:top="1418" w:right="1304" w:bottom="1304" w:left="1304" w:header="851" w:footer="851" w:gutter="0"/>
          <w:pgNumType w:start="1"/>
          <w:cols w:space="425" w:num="1"/>
          <w:docGrid w:linePitch="312" w:charSpace="0"/>
        </w:sectPr>
      </w:pPr>
      <w:r>
        <w:rPr>
          <w:color w:val="auto"/>
        </w:rPr>
        <w:tab/>
      </w:r>
    </w:p>
    <w:bookmarkEnd w:id="2"/>
    <w:bookmarkEnd w:id="3"/>
    <w:bookmarkEnd w:id="4"/>
    <w:bookmarkEnd w:id="5"/>
    <w:bookmarkEnd w:id="6"/>
    <w:bookmarkEnd w:id="7"/>
    <w:bookmarkEnd w:id="8"/>
    <w:bookmarkEnd w:id="9"/>
    <w:bookmarkEnd w:id="10"/>
    <w:p w14:paraId="514DED4C">
      <w:pPr>
        <w:pStyle w:val="42"/>
        <w:bidi w:val="0"/>
        <w:ind w:left="0" w:leftChars="0" w:firstLine="0" w:firstLineChars="0"/>
        <w:rPr>
          <w:color w:val="auto"/>
        </w:rPr>
      </w:pPr>
      <w:bookmarkStart w:id="11" w:name="_Toc13156"/>
      <w:bookmarkStart w:id="12" w:name="_Toc532284854"/>
      <w:r>
        <w:rPr>
          <w:color w:val="auto"/>
        </w:rPr>
        <w:t>概述</w:t>
      </w:r>
      <w:bookmarkEnd w:id="11"/>
      <w:bookmarkEnd w:id="12"/>
    </w:p>
    <w:p w14:paraId="3B3A1486">
      <w:pPr>
        <w:pStyle w:val="32"/>
        <w:bidi w:val="0"/>
        <w:rPr>
          <w:rFonts w:hint="eastAsia"/>
          <w:color w:val="auto"/>
          <w:lang w:val="en-US" w:eastAsia="zh-CN"/>
        </w:rPr>
      </w:pPr>
      <w:r>
        <w:rPr>
          <w:rFonts w:hint="eastAsia"/>
          <w:color w:val="auto"/>
          <w:lang w:val="en-US" w:eastAsia="zh-CN"/>
        </w:rPr>
        <w:t>福州台商投资区松山片区为国家级经济开发区，加快福州台商投资区松山片区建设，是贯彻落实《国务院关于支持福建省加快建设海峡西岸经济区的若干意见》的重大举措，有利于完善海西沿海发展布局，打造新的经济增长点，增强省会中心城市的重心作用，形成沿海一线持续拓展、纵深推进的开发开放格局。福州台商投资区外联通道（迹头至台商区段）项目一期（选屿至台商区段）作为片区东向对外的连接通道，其全线贯通对加快片区建设具有重要意义。</w:t>
      </w:r>
    </w:p>
    <w:p w14:paraId="3CD66C7F">
      <w:pPr>
        <w:pStyle w:val="32"/>
        <w:bidi w:val="0"/>
        <w:rPr>
          <w:rFonts w:hint="default"/>
          <w:color w:val="auto"/>
          <w:lang w:val="en-US" w:eastAsia="zh-CN"/>
        </w:rPr>
      </w:pPr>
      <w:r>
        <w:rPr>
          <w:rFonts w:hint="default"/>
          <w:color w:val="auto"/>
          <w:lang w:val="en-US" w:eastAsia="zh-CN"/>
        </w:rPr>
        <w:t>项目位于台商投资区松山片区东侧。区内以工业用地为主，本项目的建设，将改善片区交通环境，必将带动周边土地的开发，有助于促进罗源产业结构的升级和优化。随着交通条件的改善，罗源的产业布局将更加合理，产业链将进一步完善。同时，道路项目还可以推动旅游业、物流业等现代服务业的发展，为罗源经济注入新的活力。这些产业的发展将带动更多就业机会的创造，提高居民收入水平，进一步推动罗源经济的繁荣。</w:t>
      </w:r>
    </w:p>
    <w:p w14:paraId="3DDB59E8">
      <w:pPr>
        <w:adjustRightInd w:val="0"/>
        <w:snapToGrid w:val="0"/>
        <w:spacing w:line="360" w:lineRule="auto"/>
        <w:ind w:firstLine="480" w:firstLineChars="200"/>
        <w:rPr>
          <w:rFonts w:hint="eastAsia" w:ascii="Times New Roman" w:hAnsi="Times New Roman" w:eastAsia="宋体" w:cs="Times New Roman"/>
          <w:i w:val="0"/>
          <w:iCs w:val="0"/>
          <w:caps w:val="0"/>
          <w:color w:val="auto"/>
          <w:spacing w:val="0"/>
          <w:sz w:val="24"/>
          <w:szCs w:val="24"/>
          <w:shd w:val="clear" w:fill="FFFFFF"/>
          <w:lang w:val="en-US" w:eastAsia="zh-CN"/>
        </w:rPr>
      </w:pPr>
      <w:r>
        <w:rPr>
          <w:rFonts w:hint="eastAsia"/>
          <w:color w:val="auto"/>
          <w:lang w:val="en-US" w:eastAsia="zh-CN"/>
        </w:rPr>
        <w:t>福州台商投资区外联通道（迹头至台商区段）项目一期（选屿至台商区段）</w:t>
      </w:r>
      <w:r>
        <w:rPr>
          <w:rFonts w:hint="eastAsia" w:ascii="Times New Roman" w:hAnsi="Times New Roman" w:eastAsia="宋体" w:cs="Times New Roman"/>
          <w:i w:val="0"/>
          <w:iCs w:val="0"/>
          <w:caps w:val="0"/>
          <w:color w:val="auto"/>
          <w:spacing w:val="0"/>
          <w:sz w:val="24"/>
          <w:szCs w:val="24"/>
          <w:shd w:val="clear" w:fill="FFFFFF"/>
          <w:lang w:val="en-US" w:eastAsia="zh-CN"/>
        </w:rPr>
        <w:t>主体工程用海面积4.4309公顷，主要新建道路并配套交通、岩土、桥梁、给排水、电气、附属工程等，项目西起于松山一路与通屿路交叉口，终点衔接已设计G228国道二屿平交口桥梁，项目采用分幅设计，左幅路线全长约570.5米（其中桥长327.545米），右幅路线全长约575.5米（其中桥长332.545米），路基宽度40米，采用二级公路兼城市主干道标准建设，双向六车道，设计速度40千米/小时，沥青混凝土路面。</w:t>
      </w:r>
    </w:p>
    <w:p w14:paraId="36367E11">
      <w:pPr>
        <w:pStyle w:val="37"/>
        <w:bidi w:val="0"/>
        <w:rPr>
          <w:color w:val="auto"/>
        </w:rPr>
      </w:pPr>
      <w:r>
        <w:rPr>
          <w:color w:val="auto"/>
        </w:rPr>
        <w:t>根据</w:t>
      </w:r>
      <w:r>
        <w:rPr>
          <w:rFonts w:hint="eastAsia"/>
          <w:color w:val="auto"/>
        </w:rPr>
        <w:t>《中华人民共和国环境保护法》</w:t>
      </w:r>
      <w:r>
        <w:rPr>
          <w:color w:val="auto"/>
        </w:rPr>
        <w:t>《环境影响评价公众参与办法》，本单位</w:t>
      </w:r>
      <w:r>
        <w:rPr>
          <w:rFonts w:hint="eastAsia"/>
          <w:color w:val="auto"/>
          <w:lang w:val="en-US" w:eastAsia="zh-CN"/>
        </w:rPr>
        <w:t>依法对本</w:t>
      </w:r>
      <w:r>
        <w:rPr>
          <w:color w:val="auto"/>
        </w:rPr>
        <w:t>项目环境影响评价开展公众参与调查。公众参与是通过与公众进行的有效协商，使建设项目能够被公众充分认可，并在项目实施过程中不对公众利益构成危害或威胁，以取得经济效益、社会效益、环境效益的协调统一。通过公众参与，了解和掌握民意，不仅尊重了公众的知情权，也减少可能产生的不利于工程建设的</w:t>
      </w:r>
      <w:r>
        <w:rPr>
          <w:rFonts w:hint="eastAsia"/>
          <w:color w:val="auto"/>
          <w:lang w:eastAsia="zh-CN"/>
        </w:rPr>
        <w:t>问题</w:t>
      </w:r>
      <w:r>
        <w:rPr>
          <w:color w:val="auto"/>
        </w:rPr>
        <w:t>。努力把建设项目对公众的不利影响减到最小或可接受程度，做到</w:t>
      </w:r>
      <w:r>
        <w:rPr>
          <w:rFonts w:hint="eastAsia"/>
          <w:color w:val="auto"/>
          <w:lang w:eastAsia="zh-CN"/>
        </w:rPr>
        <w:t>防患于未然</w:t>
      </w:r>
      <w:r>
        <w:rPr>
          <w:color w:val="auto"/>
        </w:rPr>
        <w:t>。既有助于提高政府部门决策的民主性、科学性和可行性，也有助于公众对建设项目的理解和支持，结果将有助于建设项目的顺利进行。</w:t>
      </w:r>
    </w:p>
    <w:p w14:paraId="04B6858D">
      <w:pPr>
        <w:pStyle w:val="37"/>
        <w:keepNext w:val="0"/>
        <w:keepLines w:val="0"/>
        <w:pageBreakBefore w:val="0"/>
        <w:widowControl w:val="0"/>
        <w:kinsoku/>
        <w:wordWrap w:val="0"/>
        <w:overflowPunct/>
        <w:topLinePunct/>
        <w:autoSpaceDE/>
        <w:autoSpaceDN/>
        <w:bidi w:val="0"/>
        <w:adjustRightInd/>
        <w:snapToGrid/>
        <w:textAlignment w:val="auto"/>
        <w:rPr>
          <w:color w:val="auto"/>
        </w:rPr>
      </w:pPr>
      <w:r>
        <w:rPr>
          <w:color w:val="auto"/>
        </w:rPr>
        <w:t>为充分了解拟建项目区域社会各界的意见，切实保障受影响人群的正当权益，本单位分阶段进行了信息公开意见征询工作</w:t>
      </w:r>
      <w:r>
        <w:rPr>
          <w:rFonts w:hint="eastAsia"/>
          <w:color w:val="auto"/>
        </w:rPr>
        <w:t>，</w:t>
      </w:r>
      <w:r>
        <w:rPr>
          <w:rFonts w:hint="eastAsia"/>
          <w:color w:val="auto"/>
          <w:lang w:val="en-US" w:eastAsia="zh-CN"/>
        </w:rPr>
        <w:t>于</w:t>
      </w:r>
      <w:r>
        <w:rPr>
          <w:color w:val="auto"/>
        </w:rPr>
        <w:t>202</w:t>
      </w:r>
      <w:r>
        <w:rPr>
          <w:rFonts w:hint="eastAsia"/>
          <w:color w:val="auto"/>
          <w:lang w:val="en-US" w:eastAsia="zh-CN"/>
        </w:rPr>
        <w:t>6</w:t>
      </w:r>
      <w:r>
        <w:rPr>
          <w:color w:val="auto"/>
        </w:rPr>
        <w:t>年</w:t>
      </w:r>
      <w:r>
        <w:rPr>
          <w:rFonts w:hint="eastAsia"/>
          <w:color w:val="auto"/>
          <w:lang w:val="en-US" w:eastAsia="zh-CN"/>
        </w:rPr>
        <w:t>2</w:t>
      </w:r>
      <w:r>
        <w:rPr>
          <w:color w:val="auto"/>
        </w:rPr>
        <w:t>月</w:t>
      </w:r>
      <w:r>
        <w:rPr>
          <w:rFonts w:hint="eastAsia"/>
          <w:color w:val="auto"/>
          <w:lang w:val="en-US" w:eastAsia="zh-CN"/>
        </w:rPr>
        <w:t>5</w:t>
      </w:r>
      <w:r>
        <w:rPr>
          <w:color w:val="auto"/>
        </w:rPr>
        <w:t>日</w:t>
      </w:r>
      <w:r>
        <w:rPr>
          <w:rFonts w:hint="eastAsia"/>
          <w:color w:val="auto"/>
          <w:lang w:val="en-US" w:eastAsia="zh-CN"/>
        </w:rPr>
        <w:t>通过福建环保</w:t>
      </w:r>
      <w:r>
        <w:rPr>
          <w:rFonts w:hint="eastAsia" w:ascii="Times New Roman" w:hAnsi="Times New Roman" w:eastAsia="宋体" w:cs="Times New Roman"/>
          <w:color w:val="auto"/>
          <w:spacing w:val="-4"/>
          <w:sz w:val="24"/>
          <w:szCs w:val="24"/>
          <w:lang w:val="en-US" w:eastAsia="zh-CN"/>
        </w:rPr>
        <w:t>网站</w:t>
      </w:r>
      <w:r>
        <w:rPr>
          <w:rFonts w:hint="eastAsia"/>
          <w:color w:val="auto"/>
        </w:rPr>
        <w:t>（https://www.fjhb.org/huanping/yici/45429.html）</w:t>
      </w:r>
      <w:r>
        <w:rPr>
          <w:rFonts w:hint="eastAsia"/>
          <w:color w:val="auto"/>
          <w:lang w:val="en-US" w:eastAsia="zh-CN"/>
        </w:rPr>
        <w:t>公开环境影响评价信息</w:t>
      </w:r>
      <w:r>
        <w:rPr>
          <w:rFonts w:hint="eastAsia"/>
          <w:color w:val="auto"/>
          <w:lang w:eastAsia="zh-CN"/>
        </w:rPr>
        <w:t>，</w:t>
      </w:r>
      <w:r>
        <w:rPr>
          <w:color w:val="auto"/>
        </w:rPr>
        <w:t>202</w:t>
      </w:r>
      <w:r>
        <w:rPr>
          <w:rFonts w:hint="eastAsia"/>
          <w:color w:val="auto"/>
          <w:lang w:val="en-US" w:eastAsia="zh-CN"/>
        </w:rPr>
        <w:t>6</w:t>
      </w:r>
      <w:r>
        <w:rPr>
          <w:color w:val="auto"/>
        </w:rPr>
        <w:t>年</w:t>
      </w:r>
      <w:r>
        <w:rPr>
          <w:rFonts w:hint="eastAsia"/>
          <w:color w:val="auto"/>
          <w:lang w:val="en-US" w:eastAsia="zh-CN"/>
        </w:rPr>
        <w:t>3</w:t>
      </w:r>
      <w:r>
        <w:rPr>
          <w:color w:val="auto"/>
        </w:rPr>
        <w:t>月</w:t>
      </w:r>
      <w:r>
        <w:rPr>
          <w:rFonts w:hint="eastAsia"/>
          <w:color w:val="auto"/>
          <w:lang w:val="en-US" w:eastAsia="zh-CN"/>
        </w:rPr>
        <w:t>4</w:t>
      </w:r>
      <w:r>
        <w:rPr>
          <w:color w:val="auto"/>
        </w:rPr>
        <w:t>日</w:t>
      </w:r>
      <w:r>
        <w:rPr>
          <w:rFonts w:hint="eastAsia"/>
          <w:color w:val="auto"/>
        </w:rPr>
        <w:t>通过</w:t>
      </w:r>
      <w:r>
        <w:rPr>
          <w:rFonts w:hint="eastAsia"/>
          <w:color w:val="auto"/>
          <w:lang w:val="en-US" w:eastAsia="zh-CN"/>
        </w:rPr>
        <w:t>福建环保</w:t>
      </w:r>
      <w:r>
        <w:rPr>
          <w:rFonts w:hint="eastAsia" w:ascii="Times New Roman" w:hAnsi="Times New Roman" w:eastAsia="宋体" w:cs="Times New Roman"/>
          <w:color w:val="auto"/>
          <w:spacing w:val="-4"/>
          <w:sz w:val="24"/>
          <w:szCs w:val="24"/>
          <w:lang w:val="en-US" w:eastAsia="zh-CN"/>
        </w:rPr>
        <w:t>网站</w:t>
      </w:r>
      <w:r>
        <w:rPr>
          <w:rFonts w:hint="eastAsia"/>
          <w:color w:val="auto"/>
        </w:rPr>
        <w:t>（https://www.fjhb.org/huanping/erci/45533.html）</w:t>
      </w:r>
      <w:r>
        <w:rPr>
          <w:color w:val="auto"/>
        </w:rPr>
        <w:t>进行网络</w:t>
      </w:r>
      <w:r>
        <w:rPr>
          <w:rFonts w:hint="eastAsia"/>
          <w:color w:val="auto"/>
        </w:rPr>
        <w:t>征求意见稿</w:t>
      </w:r>
      <w:r>
        <w:rPr>
          <w:color w:val="auto"/>
        </w:rPr>
        <w:t>公示，并通</w:t>
      </w:r>
      <w:r>
        <w:rPr>
          <w:rFonts w:hint="eastAsia"/>
          <w:color w:val="auto"/>
          <w:lang w:val="en-US" w:eastAsia="zh-CN"/>
        </w:rPr>
        <w:t>过海峡导报</w:t>
      </w:r>
      <w:r>
        <w:rPr>
          <w:color w:val="auto"/>
        </w:rPr>
        <w:t>的202</w:t>
      </w:r>
      <w:r>
        <w:rPr>
          <w:rFonts w:hint="eastAsia"/>
          <w:color w:val="auto"/>
          <w:lang w:val="en-US" w:eastAsia="zh-CN"/>
        </w:rPr>
        <w:t>6</w:t>
      </w:r>
      <w:r>
        <w:rPr>
          <w:color w:val="auto"/>
        </w:rPr>
        <w:t>年</w:t>
      </w:r>
      <w:r>
        <w:rPr>
          <w:rFonts w:hint="eastAsia"/>
          <w:color w:val="auto"/>
          <w:lang w:val="en-US" w:eastAsia="zh-CN"/>
        </w:rPr>
        <w:t>3</w:t>
      </w:r>
      <w:r>
        <w:rPr>
          <w:color w:val="auto"/>
        </w:rPr>
        <w:t>月</w:t>
      </w:r>
      <w:r>
        <w:rPr>
          <w:rFonts w:hint="eastAsia"/>
          <w:color w:val="auto"/>
          <w:lang w:val="en-US" w:eastAsia="zh-CN"/>
        </w:rPr>
        <w:t>13</w:t>
      </w:r>
      <w:r>
        <w:rPr>
          <w:color w:val="auto"/>
        </w:rPr>
        <w:t>日和</w:t>
      </w:r>
      <w:r>
        <w:rPr>
          <w:rFonts w:hint="eastAsia"/>
          <w:color w:val="auto"/>
          <w:lang w:val="en-US" w:eastAsia="zh-CN"/>
        </w:rPr>
        <w:t>3</w:t>
      </w:r>
      <w:r>
        <w:rPr>
          <w:color w:val="auto"/>
        </w:rPr>
        <w:t>月</w:t>
      </w:r>
      <w:r>
        <w:rPr>
          <w:rFonts w:hint="eastAsia"/>
          <w:color w:val="auto"/>
          <w:lang w:val="en-US" w:eastAsia="zh-CN"/>
        </w:rPr>
        <w:t>16</w:t>
      </w:r>
      <w:r>
        <w:rPr>
          <w:color w:val="auto"/>
        </w:rPr>
        <w:t>日的版面进行项目</w:t>
      </w:r>
      <w:r>
        <w:rPr>
          <w:rFonts w:hint="eastAsia"/>
          <w:color w:val="auto"/>
        </w:rPr>
        <w:t>征求意见稿</w:t>
      </w:r>
      <w:r>
        <w:rPr>
          <w:color w:val="auto"/>
        </w:rPr>
        <w:t>环评公示</w:t>
      </w:r>
      <w:r>
        <w:rPr>
          <w:rFonts w:hint="eastAsia"/>
          <w:color w:val="auto"/>
          <w:lang w:eastAsia="zh-CN"/>
        </w:rPr>
        <w:t>，</w:t>
      </w:r>
      <w:r>
        <w:rPr>
          <w:rFonts w:hint="eastAsia"/>
          <w:color w:val="auto"/>
          <w:lang w:val="en-US" w:eastAsia="zh-CN"/>
        </w:rPr>
        <w:t>同时在周边村镇公告栏张贴公告</w:t>
      </w:r>
      <w:r>
        <w:rPr>
          <w:color w:val="auto"/>
        </w:rPr>
        <w:t>，公布项目环评报告书征求意见稿的获取途径</w:t>
      </w:r>
      <w:r>
        <w:rPr>
          <w:rFonts w:hint="eastAsia"/>
          <w:color w:val="auto"/>
        </w:rPr>
        <w:t>、</w:t>
      </w:r>
      <w:r>
        <w:rPr>
          <w:color w:val="auto"/>
        </w:rPr>
        <w:t>意见反馈方式</w:t>
      </w:r>
      <w:r>
        <w:rPr>
          <w:rFonts w:hint="eastAsia"/>
          <w:color w:val="auto"/>
        </w:rPr>
        <w:t>以及</w:t>
      </w:r>
      <w:r>
        <w:rPr>
          <w:color w:val="auto"/>
        </w:rPr>
        <w:t>公众意见表的链接方式。</w:t>
      </w:r>
      <w:r>
        <w:rPr>
          <w:rFonts w:hint="eastAsia"/>
          <w:color w:val="auto"/>
        </w:rPr>
        <w:t>公示期间</w:t>
      </w:r>
      <w:r>
        <w:rPr>
          <w:color w:val="auto"/>
        </w:rPr>
        <w:t>，</w:t>
      </w:r>
      <w:r>
        <w:rPr>
          <w:rFonts w:hint="eastAsia"/>
          <w:color w:val="auto"/>
        </w:rPr>
        <w:t>未收到公众</w:t>
      </w:r>
      <w:r>
        <w:rPr>
          <w:color w:val="auto"/>
        </w:rPr>
        <w:t>反馈的公众意见表格、电话</w:t>
      </w:r>
      <w:r>
        <w:rPr>
          <w:rFonts w:hint="eastAsia"/>
          <w:color w:val="auto"/>
        </w:rPr>
        <w:t>及电子邮件</w:t>
      </w:r>
      <w:r>
        <w:rPr>
          <w:color w:val="auto"/>
        </w:rPr>
        <w:t>。</w:t>
      </w:r>
    </w:p>
    <w:p w14:paraId="4D34926D">
      <w:pPr>
        <w:pStyle w:val="37"/>
        <w:bidi w:val="0"/>
        <w:rPr>
          <w:color w:val="auto"/>
        </w:rPr>
      </w:pPr>
      <w:r>
        <w:rPr>
          <w:color w:val="auto"/>
        </w:rPr>
        <w:t>此次公众调查</w:t>
      </w:r>
      <w:r>
        <w:rPr>
          <w:rFonts w:hint="eastAsia"/>
          <w:color w:val="auto"/>
        </w:rPr>
        <w:t>流程符合</w:t>
      </w:r>
      <w:r>
        <w:rPr>
          <w:color w:val="auto"/>
        </w:rPr>
        <w:t>《</w:t>
      </w:r>
      <w:r>
        <w:rPr>
          <w:rFonts w:hint="eastAsia"/>
          <w:color w:val="auto"/>
        </w:rPr>
        <w:t>环境影响</w:t>
      </w:r>
      <w:r>
        <w:rPr>
          <w:color w:val="auto"/>
        </w:rPr>
        <w:t>评价公众参与办法》</w:t>
      </w:r>
      <w:r>
        <w:rPr>
          <w:rFonts w:hint="eastAsia"/>
          <w:color w:val="auto"/>
        </w:rPr>
        <w:t>（生态</w:t>
      </w:r>
      <w:r>
        <w:rPr>
          <w:color w:val="auto"/>
        </w:rPr>
        <w:t>环境部令第</w:t>
      </w:r>
      <w:r>
        <w:rPr>
          <w:rFonts w:hint="eastAsia"/>
          <w:color w:val="auto"/>
        </w:rPr>
        <w:t>4号），公示</w:t>
      </w:r>
      <w:r>
        <w:rPr>
          <w:color w:val="auto"/>
        </w:rPr>
        <w:t>的</w:t>
      </w:r>
      <w:r>
        <w:rPr>
          <w:rFonts w:hint="eastAsia"/>
          <w:color w:val="auto"/>
        </w:rPr>
        <w:t>媒介</w:t>
      </w:r>
      <w:r>
        <w:rPr>
          <w:color w:val="auto"/>
        </w:rPr>
        <w:t>选用</w:t>
      </w:r>
      <w:r>
        <w:rPr>
          <w:rFonts w:hint="eastAsia" w:cs="Times New Roman"/>
          <w:color w:val="auto"/>
          <w:spacing w:val="-4"/>
          <w:sz w:val="24"/>
          <w:szCs w:val="24"/>
          <w:lang w:val="en-US" w:eastAsia="zh-CN"/>
        </w:rPr>
        <w:t>福建环</w:t>
      </w:r>
      <w:r>
        <w:rPr>
          <w:rFonts w:hint="eastAsia" w:cs="Times New Roman"/>
          <w:color w:val="auto"/>
          <w:spacing w:val="-4"/>
          <w:sz w:val="24"/>
          <w:szCs w:val="24"/>
          <w:lang w:val="en-US" w:eastAsia="zh-CN"/>
        </w:rPr>
        <w:t>保</w:t>
      </w:r>
      <w:r>
        <w:rPr>
          <w:rFonts w:hint="eastAsia" w:ascii="Times New Roman" w:hAnsi="Times New Roman" w:eastAsia="宋体" w:cs="Times New Roman"/>
          <w:color w:val="auto"/>
          <w:spacing w:val="-4"/>
          <w:sz w:val="24"/>
          <w:szCs w:val="24"/>
          <w:lang w:val="en-US" w:eastAsia="zh-CN"/>
        </w:rPr>
        <w:t>网站</w:t>
      </w:r>
      <w:r>
        <w:rPr>
          <w:color w:val="auto"/>
        </w:rPr>
        <w:t>、</w:t>
      </w:r>
      <w:r>
        <w:rPr>
          <w:rFonts w:hint="eastAsia"/>
          <w:color w:val="auto"/>
          <w:lang w:val="en-US" w:eastAsia="zh-CN"/>
        </w:rPr>
        <w:t>海峡导报</w:t>
      </w:r>
      <w:r>
        <w:rPr>
          <w:color w:val="auto"/>
        </w:rPr>
        <w:t>公示，</w:t>
      </w:r>
      <w:r>
        <w:rPr>
          <w:rFonts w:hint="eastAsia"/>
          <w:color w:val="auto"/>
        </w:rPr>
        <w:t>公示</w:t>
      </w:r>
      <w:r>
        <w:rPr>
          <w:color w:val="auto"/>
        </w:rPr>
        <w:t>的范围较广，基本涵盖</w:t>
      </w:r>
      <w:r>
        <w:rPr>
          <w:rFonts w:hint="eastAsia"/>
          <w:color w:val="auto"/>
        </w:rPr>
        <w:t>可能</w:t>
      </w:r>
      <w:r>
        <w:rPr>
          <w:color w:val="auto"/>
        </w:rPr>
        <w:t>影响到的主要村镇，具有一定的代表性</w:t>
      </w:r>
      <w:r>
        <w:rPr>
          <w:rFonts w:hint="eastAsia"/>
          <w:color w:val="auto"/>
        </w:rPr>
        <w:t>。</w:t>
      </w:r>
      <w:r>
        <w:rPr>
          <w:color w:val="auto"/>
        </w:rPr>
        <w:t>工程建设会对周边环境和居民的工作、生活等方面存在不同程度的影响，建设单位将加强运营期的环境保护，结合环评报告书提出的各项要求，采取合理的环境保护措施，加强环境管理，将工程建设对环境的影响降至最低限度。</w:t>
      </w:r>
    </w:p>
    <w:p w14:paraId="6989B5DB">
      <w:pPr>
        <w:pStyle w:val="42"/>
        <w:bidi w:val="0"/>
        <w:ind w:left="0" w:leftChars="0" w:firstLine="0" w:firstLineChars="0"/>
        <w:rPr>
          <w:color w:val="auto"/>
        </w:rPr>
      </w:pPr>
      <w:bookmarkStart w:id="13" w:name="_Toc532284855"/>
      <w:bookmarkStart w:id="14" w:name="_Toc11788"/>
      <w:r>
        <w:rPr>
          <w:color w:val="auto"/>
        </w:rPr>
        <w:t>首次环境影响评价信息公开情况</w:t>
      </w:r>
      <w:bookmarkEnd w:id="13"/>
      <w:bookmarkEnd w:id="14"/>
    </w:p>
    <w:p w14:paraId="5D45C2DC">
      <w:pPr>
        <w:pStyle w:val="37"/>
        <w:bidi w:val="0"/>
        <w:rPr>
          <w:rFonts w:hint="eastAsia"/>
          <w:color w:val="auto"/>
          <w:lang w:val="en-US" w:eastAsia="zh-CN"/>
        </w:rPr>
      </w:pPr>
      <w:bookmarkStart w:id="15" w:name="_Toc252566872"/>
      <w:bookmarkStart w:id="16" w:name="_Toc243837268"/>
      <w:bookmarkStart w:id="17" w:name="_Toc252040668"/>
      <w:bookmarkStart w:id="18" w:name="_Toc251925872"/>
      <w:bookmarkStart w:id="19" w:name="_Toc257794700"/>
      <w:bookmarkStart w:id="20" w:name="_Toc252137551"/>
      <w:bookmarkStart w:id="21" w:name="_Toc251925652"/>
      <w:bookmarkStart w:id="22" w:name="_Toc251926481"/>
      <w:r>
        <w:rPr>
          <w:rFonts w:hint="eastAsia"/>
          <w:color w:val="auto"/>
          <w:lang w:val="en-US" w:eastAsia="zh-CN"/>
        </w:rPr>
        <w:t>根据</w:t>
      </w:r>
      <w:r>
        <w:rPr>
          <w:color w:val="auto"/>
        </w:rPr>
        <w:t>《环境影响评价公众参与办法》</w:t>
      </w:r>
      <w:r>
        <w:rPr>
          <w:rFonts w:hint="eastAsia"/>
          <w:color w:val="auto"/>
          <w:lang w:val="en-US" w:eastAsia="zh-CN"/>
        </w:rPr>
        <w:t>第九条：建设单位应当在确定环境影响报告书编制单位后7个工作日内，通过其网站、建设项目所在地公共媒体网站或者建设项目所在地相关政府网站（以下统称网络平台），公开下列信息：</w:t>
      </w:r>
    </w:p>
    <w:p w14:paraId="70BB3C58">
      <w:pPr>
        <w:pStyle w:val="37"/>
        <w:bidi w:val="0"/>
        <w:rPr>
          <w:rFonts w:hint="eastAsia"/>
          <w:color w:val="auto"/>
          <w:lang w:val="en-US" w:eastAsia="zh-CN"/>
        </w:rPr>
      </w:pPr>
      <w:r>
        <w:rPr>
          <w:rFonts w:hint="eastAsia"/>
          <w:color w:val="auto"/>
          <w:lang w:val="en-US" w:eastAsia="zh-CN"/>
        </w:rPr>
        <w:t>（一）建设项目名称、选址选线、建设内容等基本情况，改建、扩建、迁建项目应当说明现有工程及其环境保护情况；</w:t>
      </w:r>
    </w:p>
    <w:p w14:paraId="3F764399">
      <w:pPr>
        <w:pStyle w:val="37"/>
        <w:bidi w:val="0"/>
        <w:rPr>
          <w:rFonts w:hint="eastAsia"/>
          <w:color w:val="auto"/>
          <w:lang w:val="en-US" w:eastAsia="zh-CN"/>
        </w:rPr>
      </w:pPr>
      <w:r>
        <w:rPr>
          <w:rFonts w:hint="eastAsia"/>
          <w:color w:val="auto"/>
          <w:lang w:val="en-US" w:eastAsia="zh-CN"/>
        </w:rPr>
        <w:t>（二）建设单位名称和联系方式；</w:t>
      </w:r>
    </w:p>
    <w:p w14:paraId="01967AFD">
      <w:pPr>
        <w:pStyle w:val="37"/>
        <w:bidi w:val="0"/>
        <w:rPr>
          <w:rFonts w:hint="eastAsia"/>
          <w:color w:val="auto"/>
          <w:lang w:val="en-US" w:eastAsia="zh-CN"/>
        </w:rPr>
      </w:pPr>
      <w:r>
        <w:rPr>
          <w:rFonts w:hint="eastAsia"/>
          <w:color w:val="auto"/>
          <w:lang w:val="en-US" w:eastAsia="zh-CN"/>
        </w:rPr>
        <w:t>（三）环境影响报告书编制单位的名称；</w:t>
      </w:r>
    </w:p>
    <w:p w14:paraId="2B70B0DF">
      <w:pPr>
        <w:pStyle w:val="37"/>
        <w:bidi w:val="0"/>
        <w:rPr>
          <w:rFonts w:hint="eastAsia"/>
          <w:color w:val="auto"/>
          <w:lang w:val="en-US" w:eastAsia="zh-CN"/>
        </w:rPr>
      </w:pPr>
      <w:r>
        <w:rPr>
          <w:rFonts w:hint="eastAsia"/>
          <w:color w:val="auto"/>
          <w:lang w:val="en-US" w:eastAsia="zh-CN"/>
        </w:rPr>
        <w:t>（四）公众意见表的网络链接；</w:t>
      </w:r>
    </w:p>
    <w:p w14:paraId="405EDF9F">
      <w:pPr>
        <w:pStyle w:val="37"/>
        <w:bidi w:val="0"/>
        <w:rPr>
          <w:rFonts w:hint="default" w:eastAsia="宋体"/>
          <w:color w:val="auto"/>
          <w:lang w:val="en-US" w:eastAsia="zh-CN"/>
        </w:rPr>
      </w:pPr>
      <w:r>
        <w:rPr>
          <w:rFonts w:hint="eastAsia"/>
          <w:color w:val="auto"/>
          <w:lang w:val="en-US" w:eastAsia="zh-CN"/>
        </w:rPr>
        <w:t>（五）提交公众意见表的方式和途径。</w:t>
      </w:r>
    </w:p>
    <w:p w14:paraId="657590F4">
      <w:pPr>
        <w:pStyle w:val="37"/>
        <w:bidi w:val="0"/>
        <w:rPr>
          <w:color w:val="auto"/>
        </w:rPr>
      </w:pPr>
      <w:r>
        <w:rPr>
          <w:color w:val="auto"/>
        </w:rPr>
        <w:t>202</w:t>
      </w:r>
      <w:r>
        <w:rPr>
          <w:rFonts w:hint="eastAsia"/>
          <w:color w:val="auto"/>
          <w:lang w:val="en-US" w:eastAsia="zh-CN"/>
        </w:rPr>
        <w:t>6</w:t>
      </w:r>
      <w:r>
        <w:rPr>
          <w:color w:val="auto"/>
        </w:rPr>
        <w:t>年</w:t>
      </w:r>
      <w:r>
        <w:rPr>
          <w:rFonts w:hint="eastAsia"/>
          <w:color w:val="auto"/>
          <w:lang w:val="en-US" w:eastAsia="zh-CN"/>
        </w:rPr>
        <w:t>2</w:t>
      </w:r>
      <w:r>
        <w:rPr>
          <w:color w:val="auto"/>
        </w:rPr>
        <w:t>月</w:t>
      </w:r>
      <w:r>
        <w:rPr>
          <w:rFonts w:hint="eastAsia"/>
          <w:color w:val="auto"/>
          <w:lang w:val="en-US" w:eastAsia="zh-CN"/>
        </w:rPr>
        <w:t>2</w:t>
      </w:r>
      <w:r>
        <w:rPr>
          <w:color w:val="auto"/>
        </w:rPr>
        <w:t>日</w:t>
      </w:r>
      <w:r>
        <w:rPr>
          <w:rFonts w:hint="eastAsia"/>
          <w:color w:val="auto"/>
          <w:lang w:val="en-US" w:eastAsia="zh-CN"/>
        </w:rPr>
        <w:t>，</w:t>
      </w:r>
      <w:r>
        <w:rPr>
          <w:color w:val="auto"/>
        </w:rPr>
        <w:t>我司委托</w:t>
      </w:r>
      <w:r>
        <w:rPr>
          <w:rFonts w:hint="eastAsia"/>
          <w:color w:val="auto"/>
          <w:lang w:val="en-US" w:eastAsia="zh-CN"/>
        </w:rPr>
        <w:t>莆田城厢培曦环保有限公司</w:t>
      </w:r>
      <w:r>
        <w:rPr>
          <w:rFonts w:hint="eastAsia"/>
          <w:color w:val="auto"/>
        </w:rPr>
        <w:t>对</w:t>
      </w:r>
      <w:r>
        <w:rPr>
          <w:rFonts w:hint="eastAsia"/>
          <w:color w:val="auto"/>
          <w:lang w:val="en-US" w:eastAsia="zh-CN"/>
        </w:rPr>
        <w:t>福州台商投资区外联通道（迹头至台商区段）项目一期（选屿至台商区段）开展</w:t>
      </w:r>
      <w:r>
        <w:rPr>
          <w:rFonts w:hint="eastAsia"/>
          <w:color w:val="auto"/>
        </w:rPr>
        <w:t>环境影响评价工作</w:t>
      </w:r>
      <w:r>
        <w:rPr>
          <w:rFonts w:hint="eastAsia"/>
          <w:color w:val="auto"/>
          <w:lang w:eastAsia="zh-CN"/>
        </w:rPr>
        <w:t>，</w:t>
      </w:r>
      <w:r>
        <w:rPr>
          <w:color w:val="auto"/>
        </w:rPr>
        <w:t>我司于202</w:t>
      </w:r>
      <w:r>
        <w:rPr>
          <w:rFonts w:hint="eastAsia"/>
          <w:color w:val="auto"/>
          <w:lang w:val="en-US" w:eastAsia="zh-CN"/>
        </w:rPr>
        <w:t>6</w:t>
      </w:r>
      <w:r>
        <w:rPr>
          <w:color w:val="auto"/>
        </w:rPr>
        <w:t>年</w:t>
      </w:r>
      <w:r>
        <w:rPr>
          <w:rFonts w:hint="eastAsia"/>
          <w:color w:val="auto"/>
          <w:lang w:val="en-US" w:eastAsia="zh-CN"/>
        </w:rPr>
        <w:t>2</w:t>
      </w:r>
      <w:r>
        <w:rPr>
          <w:color w:val="auto"/>
        </w:rPr>
        <w:t>月</w:t>
      </w:r>
      <w:r>
        <w:rPr>
          <w:rFonts w:hint="eastAsia"/>
          <w:color w:val="auto"/>
          <w:lang w:val="en-US" w:eastAsia="zh-CN"/>
        </w:rPr>
        <w:t>5</w:t>
      </w:r>
      <w:r>
        <w:rPr>
          <w:color w:val="auto"/>
        </w:rPr>
        <w:t>日</w:t>
      </w:r>
      <w:r>
        <w:rPr>
          <w:rFonts w:hint="eastAsia"/>
          <w:color w:val="auto"/>
        </w:rPr>
        <w:t>在</w:t>
      </w:r>
      <w:r>
        <w:rPr>
          <w:rFonts w:hint="eastAsia"/>
          <w:color w:val="auto"/>
          <w:lang w:val="en-US" w:eastAsia="zh-CN"/>
        </w:rPr>
        <w:t>福建环保</w:t>
      </w:r>
      <w:r>
        <w:rPr>
          <w:rFonts w:hint="eastAsia" w:ascii="Times New Roman" w:hAnsi="Times New Roman" w:eastAsia="宋体" w:cs="Times New Roman"/>
          <w:color w:val="auto"/>
          <w:spacing w:val="-4"/>
          <w:sz w:val="24"/>
          <w:szCs w:val="24"/>
          <w:lang w:val="en-US" w:eastAsia="zh-CN"/>
        </w:rPr>
        <w:t>网站</w:t>
      </w:r>
      <w:r>
        <w:rPr>
          <w:rFonts w:hint="eastAsia"/>
          <w:color w:val="auto"/>
        </w:rPr>
        <w:t>（https://www.fjhb.org/huanping/yici/45429.html）</w:t>
      </w:r>
      <w:r>
        <w:rPr>
          <w:color w:val="auto"/>
        </w:rPr>
        <w:t>进行网络第一次公示。公示内容主要包括建设项目名称、选址、建设内容及基本概况、建设单位和环评单位的名称及联系方式，意见反馈方式等。公示的日期和内容均符合《环境影响评价公众参与办法》第九条的要求</w:t>
      </w:r>
      <w:r>
        <w:rPr>
          <w:rFonts w:hint="eastAsia"/>
          <w:color w:val="auto"/>
          <w:lang w:val="en-US" w:eastAsia="zh-CN"/>
        </w:rPr>
        <w:t>。</w:t>
      </w:r>
    </w:p>
    <w:p w14:paraId="0AC0640C">
      <w:pPr>
        <w:pStyle w:val="37"/>
        <w:bidi w:val="0"/>
        <w:rPr>
          <w:color w:val="auto"/>
        </w:rPr>
        <w:sectPr>
          <w:footerReference r:id="rId6" w:type="default"/>
          <w:pgSz w:w="11906" w:h="16838"/>
          <w:pgMar w:top="1417" w:right="1417" w:bottom="1417" w:left="1417" w:header="851" w:footer="851" w:gutter="0"/>
          <w:pgNumType w:start="1"/>
          <w:cols w:space="425" w:num="1"/>
          <w:docGrid w:linePitch="312" w:charSpace="0"/>
        </w:sectPr>
      </w:pPr>
    </w:p>
    <w:p w14:paraId="11D4A1D5">
      <w:pPr>
        <w:pStyle w:val="37"/>
        <w:bidi w:val="0"/>
        <w:ind w:left="0" w:leftChars="0" w:firstLine="0" w:firstLineChars="0"/>
        <w:jc w:val="center"/>
        <w:rPr>
          <w:color w:val="auto"/>
        </w:rPr>
      </w:pPr>
      <w:r>
        <w:rPr>
          <w:b/>
          <w:bCs/>
          <w:color w:val="auto"/>
        </w:rPr>
        <w:drawing>
          <wp:inline distT="0" distB="0" distL="114300" distR="114300">
            <wp:extent cx="5859780" cy="6282690"/>
            <wp:effectExtent l="9525" t="9525" r="17145" b="13335"/>
            <wp:docPr id="1" name="图片 1" descr="外联第一次公示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外联第一次公示截图"/>
                    <pic:cNvPicPr>
                      <a:picLocks noChangeAspect="1"/>
                    </pic:cNvPicPr>
                  </pic:nvPicPr>
                  <pic:blipFill>
                    <a:blip r:embed="rId9"/>
                    <a:srcRect l="1291" r="1237"/>
                    <a:stretch>
                      <a:fillRect/>
                    </a:stretch>
                  </pic:blipFill>
                  <pic:spPr>
                    <a:xfrm>
                      <a:off x="0" y="0"/>
                      <a:ext cx="5859780" cy="6282690"/>
                    </a:xfrm>
                    <a:prstGeom prst="rect">
                      <a:avLst/>
                    </a:prstGeom>
                    <a:ln>
                      <a:solidFill>
                        <a:schemeClr val="tx1"/>
                      </a:solidFill>
                    </a:ln>
                  </pic:spPr>
                </pic:pic>
              </a:graphicData>
            </a:graphic>
          </wp:inline>
        </w:drawing>
      </w:r>
      <w:r>
        <w:rPr>
          <w:b/>
          <w:bCs/>
          <w:color w:val="auto"/>
        </w:rPr>
        <w:t>图</w:t>
      </w:r>
      <w:r>
        <w:rPr>
          <w:rFonts w:hint="eastAsia"/>
          <w:b/>
          <w:bCs/>
          <w:color w:val="auto"/>
          <w:lang w:val="en-US" w:eastAsia="zh-CN"/>
        </w:rPr>
        <w:t>2</w:t>
      </w:r>
      <w:r>
        <w:rPr>
          <w:b/>
          <w:bCs/>
          <w:color w:val="auto"/>
        </w:rPr>
        <w:t xml:space="preserve">-1 </w:t>
      </w:r>
      <w:r>
        <w:rPr>
          <w:rFonts w:hint="eastAsia"/>
          <w:b/>
          <w:bCs/>
          <w:color w:val="auto"/>
          <w:lang w:val="en-US" w:eastAsia="zh-CN"/>
        </w:rPr>
        <w:t>首次</w:t>
      </w:r>
      <w:r>
        <w:rPr>
          <w:rFonts w:hint="eastAsia"/>
          <w:b/>
          <w:bCs/>
          <w:color w:val="auto"/>
        </w:rPr>
        <w:t>网络</w:t>
      </w:r>
      <w:r>
        <w:rPr>
          <w:b/>
          <w:bCs/>
          <w:color w:val="auto"/>
        </w:rPr>
        <w:t>公示截图</w:t>
      </w:r>
    </w:p>
    <w:p w14:paraId="2759DEDD">
      <w:pPr>
        <w:pStyle w:val="37"/>
        <w:bidi w:val="0"/>
        <w:rPr>
          <w:color w:val="auto"/>
        </w:rPr>
        <w:sectPr>
          <w:pgSz w:w="11906" w:h="16838"/>
          <w:pgMar w:top="1418" w:right="1304" w:bottom="1304" w:left="1304" w:header="851" w:footer="851" w:gutter="0"/>
          <w:cols w:space="425" w:num="1"/>
          <w:docGrid w:linePitch="312" w:charSpace="0"/>
        </w:sectPr>
      </w:pPr>
    </w:p>
    <w:p w14:paraId="6A87570B">
      <w:pPr>
        <w:pStyle w:val="42"/>
        <w:bidi w:val="0"/>
        <w:rPr>
          <w:color w:val="auto"/>
        </w:rPr>
      </w:pPr>
      <w:bookmarkStart w:id="23" w:name="_Toc532284859"/>
      <w:bookmarkStart w:id="24" w:name="_Toc19849"/>
      <w:r>
        <w:rPr>
          <w:color w:val="auto"/>
        </w:rPr>
        <w:t>征求意见稿公示情况</w:t>
      </w:r>
      <w:bookmarkEnd w:id="23"/>
      <w:bookmarkEnd w:id="24"/>
    </w:p>
    <w:p w14:paraId="4D3E6911">
      <w:pPr>
        <w:pStyle w:val="35"/>
        <w:bidi w:val="0"/>
        <w:rPr>
          <w:color w:val="auto"/>
        </w:rPr>
      </w:pPr>
      <w:bookmarkStart w:id="25" w:name="_Toc532284860"/>
      <w:bookmarkStart w:id="26" w:name="_Toc9638"/>
      <w:r>
        <w:rPr>
          <w:color w:val="auto"/>
        </w:rPr>
        <w:t>公示内容及时限</w:t>
      </w:r>
      <w:bookmarkEnd w:id="25"/>
      <w:bookmarkEnd w:id="26"/>
    </w:p>
    <w:p w14:paraId="7F2814DF">
      <w:pPr>
        <w:pStyle w:val="37"/>
        <w:bidi w:val="0"/>
        <w:rPr>
          <w:rFonts w:hint="default" w:eastAsia="宋体"/>
          <w:color w:val="auto"/>
          <w:lang w:val="en-US" w:eastAsia="zh-CN"/>
        </w:rPr>
      </w:pPr>
      <w:r>
        <w:rPr>
          <w:rFonts w:hint="eastAsia"/>
          <w:color w:val="auto"/>
          <w:lang w:val="en-US" w:eastAsia="zh-CN"/>
        </w:rPr>
        <w:t>根据</w:t>
      </w:r>
      <w:r>
        <w:rPr>
          <w:color w:val="auto"/>
        </w:rPr>
        <w:t>《</w:t>
      </w:r>
      <w:r>
        <w:rPr>
          <w:rFonts w:hint="eastAsia"/>
          <w:color w:val="auto"/>
        </w:rPr>
        <w:t>环境影响</w:t>
      </w:r>
      <w:r>
        <w:rPr>
          <w:color w:val="auto"/>
        </w:rPr>
        <w:t>评价公众参与办法》</w:t>
      </w:r>
      <w:r>
        <w:rPr>
          <w:rFonts w:hint="eastAsia"/>
          <w:color w:val="auto"/>
          <w:lang w:val="en-US" w:eastAsia="zh-CN"/>
        </w:rPr>
        <w:t>第十条：建设项目环境影响报告书征求意见稿形成后，建设单位应当公开下列信息，征求与该建设项目环境影响有关的意见：</w:t>
      </w:r>
    </w:p>
    <w:p w14:paraId="22A06964">
      <w:pPr>
        <w:pStyle w:val="37"/>
        <w:bidi w:val="0"/>
        <w:rPr>
          <w:rFonts w:hint="eastAsia"/>
          <w:color w:val="auto"/>
        </w:rPr>
      </w:pPr>
      <w:r>
        <w:rPr>
          <w:rFonts w:hint="eastAsia"/>
          <w:color w:val="auto"/>
        </w:rPr>
        <w:t>（一）环境影响报告书征求意见稿全文的网络链接及查阅纸质报告书的方式和途径；</w:t>
      </w:r>
    </w:p>
    <w:p w14:paraId="0AA63B7F">
      <w:pPr>
        <w:pStyle w:val="37"/>
        <w:bidi w:val="0"/>
        <w:rPr>
          <w:rFonts w:hint="eastAsia"/>
          <w:color w:val="auto"/>
        </w:rPr>
      </w:pPr>
      <w:r>
        <w:rPr>
          <w:rFonts w:hint="eastAsia"/>
          <w:color w:val="auto"/>
        </w:rPr>
        <w:t>（二）征求意见的公众范围；</w:t>
      </w:r>
    </w:p>
    <w:p w14:paraId="38B12807">
      <w:pPr>
        <w:pStyle w:val="37"/>
        <w:bidi w:val="0"/>
        <w:rPr>
          <w:rFonts w:hint="eastAsia"/>
          <w:color w:val="auto"/>
        </w:rPr>
      </w:pPr>
      <w:r>
        <w:rPr>
          <w:rFonts w:hint="eastAsia"/>
          <w:color w:val="auto"/>
        </w:rPr>
        <w:t>（三）公众意见表的网络链接；</w:t>
      </w:r>
    </w:p>
    <w:p w14:paraId="040285BB">
      <w:pPr>
        <w:pStyle w:val="37"/>
        <w:bidi w:val="0"/>
        <w:rPr>
          <w:rFonts w:hint="eastAsia"/>
          <w:color w:val="auto"/>
        </w:rPr>
      </w:pPr>
      <w:r>
        <w:rPr>
          <w:rFonts w:hint="eastAsia"/>
          <w:color w:val="auto"/>
        </w:rPr>
        <w:t>（四）公众提出意见的方式和途径；</w:t>
      </w:r>
    </w:p>
    <w:p w14:paraId="52C9FC18">
      <w:pPr>
        <w:pStyle w:val="37"/>
        <w:bidi w:val="0"/>
        <w:rPr>
          <w:color w:val="auto"/>
        </w:rPr>
      </w:pPr>
      <w:r>
        <w:rPr>
          <w:rFonts w:hint="eastAsia"/>
          <w:color w:val="auto"/>
        </w:rPr>
        <w:t>（五）公众提出意见的起止时间。</w:t>
      </w:r>
    </w:p>
    <w:p w14:paraId="3BAF9E0C">
      <w:pPr>
        <w:pStyle w:val="37"/>
        <w:bidi w:val="0"/>
        <w:rPr>
          <w:rFonts w:hint="default" w:eastAsia="宋体"/>
          <w:color w:val="auto"/>
          <w:lang w:val="en-US" w:eastAsia="zh-CN"/>
        </w:rPr>
      </w:pPr>
      <w:r>
        <w:rPr>
          <w:rFonts w:hint="eastAsia"/>
          <w:color w:val="auto"/>
        </w:rPr>
        <w:t>建设单位征求公众意见的期限不得少于10个工作日。</w:t>
      </w:r>
      <w:r>
        <w:rPr>
          <w:rFonts w:hint="eastAsia"/>
          <w:color w:val="auto"/>
          <w:lang w:val="en-US" w:eastAsia="zh-CN"/>
        </w:rPr>
        <w:t>本次公示时间自2026年3月4日—3月18日，公示期限≥</w:t>
      </w:r>
      <w:r>
        <w:rPr>
          <w:rFonts w:hint="eastAsia"/>
          <w:color w:val="auto"/>
        </w:rPr>
        <w:t>10个工作日</w:t>
      </w:r>
      <w:r>
        <w:rPr>
          <w:rFonts w:hint="eastAsia"/>
          <w:color w:val="auto"/>
          <w:lang w:eastAsia="zh-CN"/>
        </w:rPr>
        <w:t>，</w:t>
      </w:r>
      <w:r>
        <w:rPr>
          <w:rFonts w:hint="eastAsia"/>
          <w:color w:val="auto"/>
          <w:lang w:val="en-US" w:eastAsia="zh-CN"/>
        </w:rPr>
        <w:t>符合要求。</w:t>
      </w:r>
    </w:p>
    <w:p w14:paraId="0FD00ABF">
      <w:pPr>
        <w:pStyle w:val="35"/>
        <w:bidi w:val="0"/>
        <w:rPr>
          <w:rFonts w:eastAsia="宋体"/>
          <w:color w:val="auto"/>
        </w:rPr>
      </w:pPr>
      <w:bookmarkStart w:id="27" w:name="_Toc532284861"/>
      <w:bookmarkStart w:id="28" w:name="_Toc28325"/>
      <w:bookmarkStart w:id="29" w:name="_Toc2759"/>
      <w:r>
        <w:rPr>
          <w:rFonts w:eastAsia="宋体"/>
          <w:color w:val="auto"/>
        </w:rPr>
        <w:t>公示方式</w:t>
      </w:r>
      <w:bookmarkEnd w:id="27"/>
      <w:bookmarkEnd w:id="28"/>
      <w:bookmarkEnd w:id="29"/>
    </w:p>
    <w:p w14:paraId="025CD13C">
      <w:pPr>
        <w:pStyle w:val="37"/>
        <w:bidi w:val="0"/>
        <w:rPr>
          <w:rFonts w:hint="eastAsia"/>
          <w:color w:val="auto"/>
        </w:rPr>
      </w:pPr>
      <w:r>
        <w:rPr>
          <w:rFonts w:hint="eastAsia"/>
          <w:color w:val="auto"/>
        </w:rPr>
        <w:t>根据</w:t>
      </w:r>
      <w:r>
        <w:rPr>
          <w:color w:val="auto"/>
        </w:rPr>
        <w:t>《</w:t>
      </w:r>
      <w:r>
        <w:rPr>
          <w:rFonts w:hint="eastAsia"/>
          <w:color w:val="auto"/>
        </w:rPr>
        <w:t>环境影响</w:t>
      </w:r>
      <w:r>
        <w:rPr>
          <w:color w:val="auto"/>
        </w:rPr>
        <w:t>评价公众参与办法》</w:t>
      </w:r>
      <w:r>
        <w:rPr>
          <w:rFonts w:hint="eastAsia"/>
          <w:color w:val="auto"/>
          <w:lang w:val="en-US" w:eastAsia="zh-CN"/>
        </w:rPr>
        <w:t>第十一条</w:t>
      </w:r>
      <w:r>
        <w:rPr>
          <w:rFonts w:hint="eastAsia"/>
          <w:color w:val="auto"/>
        </w:rPr>
        <w:t>，应当通过下列三种方式同步公开：</w:t>
      </w:r>
    </w:p>
    <w:p w14:paraId="6D73435B">
      <w:pPr>
        <w:pStyle w:val="37"/>
        <w:bidi w:val="0"/>
        <w:rPr>
          <w:rFonts w:hint="eastAsia"/>
          <w:color w:val="auto"/>
        </w:rPr>
      </w:pPr>
      <w:r>
        <w:rPr>
          <w:rFonts w:hint="eastAsia"/>
          <w:color w:val="auto"/>
        </w:rPr>
        <w:t>（一）通过网络平台公开且持续公开期限不得少于10个工作日；</w:t>
      </w:r>
    </w:p>
    <w:p w14:paraId="5CF9A950">
      <w:pPr>
        <w:pStyle w:val="37"/>
        <w:bidi w:val="0"/>
        <w:rPr>
          <w:rFonts w:hint="eastAsia"/>
          <w:color w:val="auto"/>
        </w:rPr>
      </w:pPr>
      <w:r>
        <w:rPr>
          <w:rFonts w:hint="eastAsia"/>
          <w:color w:val="auto"/>
        </w:rPr>
        <w:t>（二）通过建设项目所在地公众易于接触的报纸公开且在征求意见的10个工作日内公开信息不得少于2次；</w:t>
      </w:r>
    </w:p>
    <w:p w14:paraId="512EC2C1">
      <w:pPr>
        <w:pStyle w:val="37"/>
        <w:bidi w:val="0"/>
        <w:rPr>
          <w:rFonts w:hint="eastAsia"/>
          <w:color w:val="auto"/>
        </w:rPr>
      </w:pPr>
      <w:r>
        <w:rPr>
          <w:rFonts w:hint="eastAsia"/>
          <w:color w:val="auto"/>
        </w:rPr>
        <w:t>（三）通过在建设项目所在地公众易于知悉的场所张贴公告的方式公开且持续公开期限不得少于10个工作日。</w:t>
      </w:r>
    </w:p>
    <w:p w14:paraId="35A46024">
      <w:pPr>
        <w:pStyle w:val="37"/>
        <w:bidi w:val="0"/>
        <w:rPr>
          <w:rFonts w:hint="default" w:eastAsia="宋体"/>
          <w:color w:val="auto"/>
          <w:lang w:val="en-US" w:eastAsia="zh-CN"/>
        </w:rPr>
      </w:pPr>
      <w:r>
        <w:rPr>
          <w:rFonts w:hint="eastAsia"/>
          <w:color w:val="auto"/>
          <w:lang w:val="en-US" w:eastAsia="zh-CN"/>
        </w:rPr>
        <w:t>本项目采取</w:t>
      </w:r>
      <w:r>
        <w:rPr>
          <w:rFonts w:hint="eastAsia"/>
          <w:color w:val="auto"/>
        </w:rPr>
        <w:t>网络平台公开</w:t>
      </w:r>
      <w:r>
        <w:rPr>
          <w:color w:val="auto"/>
        </w:rPr>
        <w:t>、</w:t>
      </w:r>
      <w:r>
        <w:rPr>
          <w:rFonts w:hint="eastAsia"/>
          <w:color w:val="auto"/>
        </w:rPr>
        <w:t>报纸公开和现场张贴公告三种</w:t>
      </w:r>
      <w:r>
        <w:rPr>
          <w:color w:val="auto"/>
        </w:rPr>
        <w:t>方式</w:t>
      </w:r>
      <w:r>
        <w:rPr>
          <w:rFonts w:hint="eastAsia"/>
          <w:color w:val="auto"/>
          <w:lang w:val="en-US" w:eastAsia="zh-CN"/>
        </w:rPr>
        <w:t>进行征求意见。</w:t>
      </w:r>
    </w:p>
    <w:p w14:paraId="47646ACB">
      <w:pPr>
        <w:pStyle w:val="36"/>
        <w:bidi w:val="0"/>
        <w:rPr>
          <w:color w:val="auto"/>
        </w:rPr>
      </w:pPr>
      <w:bookmarkStart w:id="30" w:name="_Toc8041"/>
      <w:bookmarkStart w:id="31" w:name="_Toc15915"/>
      <w:r>
        <w:rPr>
          <w:rFonts w:hint="eastAsia"/>
          <w:color w:val="auto"/>
        </w:rPr>
        <w:t>网络平台公开</w:t>
      </w:r>
      <w:bookmarkEnd w:id="30"/>
      <w:bookmarkEnd w:id="31"/>
    </w:p>
    <w:p w14:paraId="6A151EF5">
      <w:pPr>
        <w:pStyle w:val="37"/>
        <w:keepNext w:val="0"/>
        <w:keepLines w:val="0"/>
        <w:pageBreakBefore w:val="0"/>
        <w:widowControl w:val="0"/>
        <w:kinsoku/>
        <w:wordWrap w:val="0"/>
        <w:overflowPunct/>
        <w:topLinePunct/>
        <w:autoSpaceDE/>
        <w:autoSpaceDN/>
        <w:bidi w:val="0"/>
        <w:adjustRightInd/>
        <w:snapToGrid/>
        <w:textAlignment w:val="auto"/>
        <w:rPr>
          <w:rFonts w:hint="eastAsia"/>
          <w:color w:val="auto"/>
        </w:rPr>
      </w:pPr>
      <w:r>
        <w:rPr>
          <w:rFonts w:hint="eastAsia"/>
          <w:color w:val="auto"/>
        </w:rPr>
        <w:t>我司通过</w:t>
      </w:r>
      <w:r>
        <w:rPr>
          <w:rFonts w:hint="eastAsia"/>
          <w:color w:val="auto"/>
          <w:lang w:val="en-US" w:eastAsia="zh-CN"/>
        </w:rPr>
        <w:t>福建环保</w:t>
      </w:r>
      <w:r>
        <w:rPr>
          <w:rFonts w:hint="eastAsia" w:ascii="Times New Roman" w:hAnsi="Times New Roman" w:eastAsia="宋体" w:cs="Times New Roman"/>
          <w:color w:val="auto"/>
          <w:spacing w:val="-4"/>
          <w:sz w:val="24"/>
          <w:szCs w:val="24"/>
          <w:lang w:val="en-US" w:eastAsia="zh-CN"/>
        </w:rPr>
        <w:t>网站</w:t>
      </w:r>
      <w:r>
        <w:rPr>
          <w:rFonts w:hint="eastAsia"/>
          <w:color w:val="auto"/>
        </w:rPr>
        <w:t>（https://www.fjhb.org/huanping/erci/45533.html）</w:t>
      </w:r>
      <w:r>
        <w:rPr>
          <w:rFonts w:hint="eastAsia"/>
          <w:color w:val="auto"/>
          <w:lang w:val="en-US" w:eastAsia="zh-CN"/>
        </w:rPr>
        <w:t>进行</w:t>
      </w:r>
      <w:r>
        <w:rPr>
          <w:color w:val="auto"/>
        </w:rPr>
        <w:t>征求意见稿</w:t>
      </w:r>
      <w:r>
        <w:rPr>
          <w:rFonts w:hint="eastAsia"/>
          <w:color w:val="auto"/>
        </w:rPr>
        <w:t>公示，</w:t>
      </w:r>
      <w:r>
        <w:rPr>
          <w:color w:val="auto"/>
        </w:rPr>
        <w:t>公示日期</w:t>
      </w:r>
      <w:r>
        <w:rPr>
          <w:rFonts w:hint="eastAsia"/>
          <w:color w:val="auto"/>
        </w:rPr>
        <w:t>为</w:t>
      </w:r>
      <w:r>
        <w:rPr>
          <w:rFonts w:hint="eastAsia"/>
          <w:color w:val="auto"/>
          <w:lang w:val="en-US" w:eastAsia="zh-CN"/>
        </w:rPr>
        <w:t>2026年3月4日—3月18日</w:t>
      </w:r>
      <w:r>
        <w:rPr>
          <w:rFonts w:hint="eastAsia"/>
          <w:color w:val="auto"/>
        </w:rPr>
        <w:t>，</w:t>
      </w:r>
      <w:r>
        <w:rPr>
          <w:color w:val="auto"/>
        </w:rPr>
        <w:t>共计</w:t>
      </w:r>
      <w:r>
        <w:rPr>
          <w:rFonts w:hint="eastAsia"/>
          <w:color w:val="auto"/>
        </w:rPr>
        <w:t>10个</w:t>
      </w:r>
      <w:r>
        <w:rPr>
          <w:color w:val="auto"/>
        </w:rPr>
        <w:t>工作日</w:t>
      </w:r>
      <w:r>
        <w:rPr>
          <w:rFonts w:hint="eastAsia"/>
          <w:color w:val="auto"/>
        </w:rPr>
        <w:t>，</w:t>
      </w:r>
      <w:r>
        <w:rPr>
          <w:color w:val="auto"/>
        </w:rPr>
        <w:t>详见图</w:t>
      </w:r>
      <w:r>
        <w:rPr>
          <w:rFonts w:hint="eastAsia"/>
          <w:color w:val="auto"/>
        </w:rPr>
        <w:t>3-1。</w:t>
      </w:r>
    </w:p>
    <w:p w14:paraId="64C46406">
      <w:pPr>
        <w:pStyle w:val="36"/>
        <w:bidi w:val="0"/>
        <w:rPr>
          <w:color w:val="auto"/>
        </w:rPr>
      </w:pPr>
      <w:bookmarkStart w:id="32" w:name="_Toc12318"/>
      <w:bookmarkStart w:id="33" w:name="_Toc4390"/>
      <w:r>
        <w:rPr>
          <w:rFonts w:hint="eastAsia"/>
          <w:color w:val="auto"/>
        </w:rPr>
        <w:t>报纸公开</w:t>
      </w:r>
      <w:bookmarkEnd w:id="32"/>
      <w:bookmarkEnd w:id="33"/>
    </w:p>
    <w:p w14:paraId="29395AE9">
      <w:pPr>
        <w:pStyle w:val="37"/>
        <w:bidi w:val="0"/>
        <w:rPr>
          <w:color w:val="auto"/>
        </w:rPr>
      </w:pPr>
      <w:r>
        <w:rPr>
          <w:rFonts w:hint="eastAsia"/>
          <w:color w:val="auto"/>
        </w:rPr>
        <w:t>我</w:t>
      </w:r>
      <w:r>
        <w:rPr>
          <w:color w:val="auto"/>
        </w:rPr>
        <w:t>司于202</w:t>
      </w:r>
      <w:r>
        <w:rPr>
          <w:rFonts w:hint="eastAsia"/>
          <w:color w:val="auto"/>
          <w:lang w:val="en-US" w:eastAsia="zh-CN"/>
        </w:rPr>
        <w:t>6</w:t>
      </w:r>
      <w:r>
        <w:rPr>
          <w:color w:val="auto"/>
        </w:rPr>
        <w:t>年</w:t>
      </w:r>
      <w:r>
        <w:rPr>
          <w:rFonts w:hint="eastAsia"/>
          <w:color w:val="auto"/>
          <w:lang w:val="en-US" w:eastAsia="zh-CN"/>
        </w:rPr>
        <w:t>3</w:t>
      </w:r>
      <w:r>
        <w:rPr>
          <w:color w:val="auto"/>
        </w:rPr>
        <w:t>月</w:t>
      </w:r>
      <w:r>
        <w:rPr>
          <w:rFonts w:hint="eastAsia"/>
          <w:color w:val="auto"/>
          <w:lang w:val="en-US" w:eastAsia="zh-CN"/>
        </w:rPr>
        <w:t>13</w:t>
      </w:r>
      <w:r>
        <w:rPr>
          <w:color w:val="auto"/>
        </w:rPr>
        <w:t>日和</w:t>
      </w:r>
      <w:r>
        <w:rPr>
          <w:rFonts w:hint="eastAsia"/>
          <w:color w:val="auto"/>
          <w:lang w:val="en-US" w:eastAsia="zh-CN"/>
        </w:rPr>
        <w:t>3</w:t>
      </w:r>
      <w:r>
        <w:rPr>
          <w:color w:val="auto"/>
        </w:rPr>
        <w:t>月</w:t>
      </w:r>
      <w:r>
        <w:rPr>
          <w:rFonts w:hint="eastAsia"/>
          <w:color w:val="auto"/>
          <w:lang w:val="en-US" w:eastAsia="zh-CN"/>
        </w:rPr>
        <w:t>16</w:t>
      </w:r>
      <w:r>
        <w:rPr>
          <w:color w:val="auto"/>
        </w:rPr>
        <w:t>日</w:t>
      </w:r>
      <w:r>
        <w:rPr>
          <w:rFonts w:hint="eastAsia"/>
          <w:color w:val="auto"/>
        </w:rPr>
        <w:t>的</w:t>
      </w:r>
      <w:r>
        <w:rPr>
          <w:rFonts w:hint="eastAsia"/>
          <w:color w:val="auto"/>
          <w:lang w:val="en-US" w:eastAsia="zh-CN"/>
        </w:rPr>
        <w:t>海峡导报</w:t>
      </w:r>
      <w:r>
        <w:rPr>
          <w:rFonts w:hint="eastAsia"/>
          <w:color w:val="auto"/>
        </w:rPr>
        <w:t>刊登</w:t>
      </w:r>
      <w:r>
        <w:rPr>
          <w:rFonts w:hint="eastAsia"/>
          <w:color w:val="auto"/>
          <w:lang w:val="en-US" w:eastAsia="zh-CN"/>
        </w:rPr>
        <w:t>福州台商投资区外联通道（迹头至台商区段）项目一期（选屿至台商区段）</w:t>
      </w:r>
      <w:r>
        <w:rPr>
          <w:rFonts w:hint="eastAsia"/>
          <w:color w:val="auto"/>
        </w:rPr>
        <w:t>环境影响评价征求意见</w:t>
      </w:r>
      <w:r>
        <w:rPr>
          <w:color w:val="auto"/>
        </w:rPr>
        <w:t>稿公示</w:t>
      </w:r>
      <w:r>
        <w:rPr>
          <w:rFonts w:hint="eastAsia"/>
          <w:color w:val="auto"/>
        </w:rPr>
        <w:t>，</w:t>
      </w:r>
      <w:r>
        <w:rPr>
          <w:color w:val="auto"/>
        </w:rPr>
        <w:t>详见</w:t>
      </w:r>
      <w:r>
        <w:rPr>
          <w:rFonts w:hint="eastAsia"/>
          <w:color w:val="auto"/>
        </w:rPr>
        <w:t>图3-2</w:t>
      </w:r>
      <w:r>
        <w:rPr>
          <w:rFonts w:hint="eastAsia"/>
          <w:color w:val="auto"/>
          <w:lang w:val="en-US" w:eastAsia="zh-CN"/>
        </w:rPr>
        <w:t>-a、</w:t>
      </w:r>
      <w:r>
        <w:rPr>
          <w:rFonts w:hint="eastAsia"/>
          <w:color w:val="auto"/>
        </w:rPr>
        <w:t>图3-2</w:t>
      </w:r>
      <w:r>
        <w:rPr>
          <w:rFonts w:hint="eastAsia"/>
          <w:color w:val="auto"/>
          <w:lang w:val="en-US" w:eastAsia="zh-CN"/>
        </w:rPr>
        <w:t>-b</w:t>
      </w:r>
      <w:r>
        <w:rPr>
          <w:rFonts w:hint="eastAsia"/>
          <w:color w:val="auto"/>
        </w:rPr>
        <w:t>。</w:t>
      </w:r>
    </w:p>
    <w:p w14:paraId="188648D5">
      <w:pPr>
        <w:pStyle w:val="37"/>
        <w:bidi w:val="0"/>
        <w:rPr>
          <w:rFonts w:hint="eastAsia"/>
          <w:b w:val="0"/>
          <w:bCs w:val="0"/>
          <w:color w:val="auto"/>
        </w:rPr>
      </w:pPr>
      <w:r>
        <w:rPr>
          <w:rFonts w:hint="eastAsia"/>
          <w:color w:val="auto"/>
          <w:lang w:val="en-US" w:eastAsia="zh-CN"/>
        </w:rPr>
        <w:t>《海峡导报</w:t>
      </w:r>
      <w:r>
        <w:rPr>
          <w:rFonts w:hint="eastAsia"/>
          <w:b w:val="0"/>
          <w:bCs w:val="0"/>
          <w:color w:val="auto"/>
          <w:lang w:eastAsia="zh-CN"/>
        </w:rPr>
        <w:t>》</w:t>
      </w:r>
      <w:r>
        <w:rPr>
          <w:rFonts w:hint="eastAsia"/>
          <w:b w:val="0"/>
          <w:bCs w:val="0"/>
          <w:color w:val="auto"/>
        </w:rPr>
        <w:t>是由福建日报报业集团主管主办，经国家新闻出版署批准，现为4开56版日报，日发行量30万份，属综合类市民生活报。刊号为CN35-0064，属</w:t>
      </w:r>
      <w:r>
        <w:rPr>
          <w:rFonts w:hint="eastAsia"/>
          <w:b w:val="0"/>
          <w:bCs w:val="0"/>
          <w:color w:val="auto"/>
          <w:lang w:val="en-US" w:eastAsia="zh-CN"/>
        </w:rPr>
        <w:t>福州</w:t>
      </w:r>
      <w:r>
        <w:rPr>
          <w:rFonts w:hint="eastAsia"/>
          <w:b w:val="0"/>
          <w:bCs w:val="0"/>
          <w:color w:val="auto"/>
        </w:rPr>
        <w:t>地区公众易于接触的报纸。</w:t>
      </w:r>
    </w:p>
    <w:p w14:paraId="01ECEC58">
      <w:pPr>
        <w:pStyle w:val="36"/>
        <w:bidi w:val="0"/>
        <w:rPr>
          <w:color w:val="auto"/>
        </w:rPr>
      </w:pPr>
      <w:bookmarkStart w:id="34" w:name="_Toc542"/>
      <w:bookmarkStart w:id="35" w:name="_Toc18029"/>
      <w:bookmarkStart w:id="36" w:name="_Toc20990"/>
      <w:r>
        <w:rPr>
          <w:rFonts w:hint="eastAsia"/>
          <w:color w:val="auto"/>
          <w:lang w:val="en-US" w:eastAsia="zh-CN"/>
        </w:rPr>
        <w:t>张贴</w:t>
      </w:r>
      <w:bookmarkEnd w:id="34"/>
      <w:bookmarkEnd w:id="35"/>
      <w:bookmarkEnd w:id="36"/>
    </w:p>
    <w:p w14:paraId="0994DF93">
      <w:pPr>
        <w:pStyle w:val="37"/>
        <w:bidi w:val="0"/>
        <w:rPr>
          <w:rFonts w:hint="eastAsia" w:eastAsia="宋体"/>
          <w:color w:val="auto"/>
          <w:lang w:eastAsia="zh-CN"/>
        </w:rPr>
      </w:pPr>
      <w:r>
        <w:rPr>
          <w:rFonts w:hint="eastAsia"/>
          <w:color w:val="auto"/>
        </w:rPr>
        <w:t>我司</w:t>
      </w:r>
      <w:r>
        <w:rPr>
          <w:color w:val="auto"/>
        </w:rPr>
        <w:t>在项目周边的</w:t>
      </w:r>
      <w:r>
        <w:rPr>
          <w:rFonts w:hint="eastAsia"/>
          <w:color w:val="auto"/>
          <w:lang w:val="en-US" w:eastAsia="zh-CN"/>
        </w:rPr>
        <w:t>松山镇</w:t>
      </w:r>
      <w:r>
        <w:rPr>
          <w:color w:val="auto"/>
        </w:rPr>
        <w:t>进行了现场张贴，张贴时间自</w:t>
      </w:r>
      <w:r>
        <w:rPr>
          <w:rFonts w:hint="eastAsia"/>
          <w:color w:val="auto"/>
          <w:lang w:val="en-US" w:eastAsia="zh-CN"/>
        </w:rPr>
        <w:t>2026年3月4日—3月18日</w:t>
      </w:r>
      <w:r>
        <w:rPr>
          <w:rFonts w:hint="eastAsia"/>
          <w:color w:val="auto"/>
        </w:rPr>
        <w:t>，</w:t>
      </w:r>
      <w:r>
        <w:rPr>
          <w:color w:val="auto"/>
        </w:rPr>
        <w:t>共计</w:t>
      </w:r>
      <w:r>
        <w:rPr>
          <w:rFonts w:hint="eastAsia"/>
          <w:color w:val="auto"/>
        </w:rPr>
        <w:t>10个</w:t>
      </w:r>
      <w:r>
        <w:rPr>
          <w:color w:val="auto"/>
        </w:rPr>
        <w:t>工作日</w:t>
      </w:r>
      <w:r>
        <w:rPr>
          <w:rFonts w:hint="eastAsia"/>
          <w:color w:val="auto"/>
        </w:rPr>
        <w:t>，</w:t>
      </w:r>
      <w:r>
        <w:rPr>
          <w:color w:val="auto"/>
        </w:rPr>
        <w:t>详见</w:t>
      </w:r>
      <w:r>
        <w:rPr>
          <w:rFonts w:hint="eastAsia"/>
          <w:color w:val="auto"/>
        </w:rPr>
        <w:t>图3-</w:t>
      </w:r>
      <w:r>
        <w:rPr>
          <w:rFonts w:hint="eastAsia"/>
          <w:color w:val="auto"/>
          <w:lang w:val="en-US" w:eastAsia="zh-CN"/>
        </w:rPr>
        <w:t>3</w:t>
      </w:r>
      <w:r>
        <w:rPr>
          <w:rFonts w:hint="eastAsia"/>
          <w:color w:val="auto"/>
          <w:lang w:eastAsia="zh-CN"/>
        </w:rPr>
        <w:t>。</w:t>
      </w:r>
    </w:p>
    <w:p w14:paraId="64EDFCD5">
      <w:pPr>
        <w:pStyle w:val="35"/>
        <w:bidi w:val="0"/>
        <w:rPr>
          <w:color w:val="auto"/>
        </w:rPr>
      </w:pPr>
      <w:bookmarkStart w:id="37" w:name="_Toc532284865"/>
      <w:bookmarkStart w:id="38" w:name="_Toc28661"/>
      <w:r>
        <w:rPr>
          <w:color w:val="auto"/>
        </w:rPr>
        <w:t>查阅情况</w:t>
      </w:r>
      <w:bookmarkEnd w:id="37"/>
      <w:bookmarkEnd w:id="38"/>
    </w:p>
    <w:p w14:paraId="60FC5A3E">
      <w:pPr>
        <w:pStyle w:val="37"/>
        <w:bidi w:val="0"/>
        <w:rPr>
          <w:color w:val="auto"/>
        </w:rPr>
      </w:pPr>
      <w:r>
        <w:rPr>
          <w:rFonts w:hint="eastAsia"/>
          <w:color w:val="auto"/>
        </w:rPr>
        <w:t>在</w:t>
      </w:r>
      <w:r>
        <w:rPr>
          <w:color w:val="auto"/>
        </w:rPr>
        <w:t>本项目征求意见稿完成后，在</w:t>
      </w:r>
      <w:r>
        <w:rPr>
          <w:rFonts w:hint="eastAsia"/>
          <w:color w:val="auto"/>
        </w:rPr>
        <w:t>公司所在地</w:t>
      </w:r>
      <w:r>
        <w:rPr>
          <w:color w:val="auto"/>
        </w:rPr>
        <w:t>设有</w:t>
      </w:r>
      <w:r>
        <w:rPr>
          <w:rFonts w:hint="eastAsia"/>
          <w:color w:val="auto"/>
        </w:rPr>
        <w:t>纸质版</w:t>
      </w:r>
      <w:r>
        <w:rPr>
          <w:color w:val="auto"/>
        </w:rPr>
        <w:t>查阅场所</w:t>
      </w:r>
      <w:r>
        <w:rPr>
          <w:rFonts w:hint="eastAsia"/>
          <w:color w:val="auto"/>
          <w:lang w:eastAsia="zh-CN"/>
        </w:rPr>
        <w:t>，</w:t>
      </w:r>
      <w:r>
        <w:rPr>
          <w:color w:val="auto"/>
        </w:rPr>
        <w:t>在</w:t>
      </w:r>
      <w:r>
        <w:rPr>
          <w:rFonts w:hint="eastAsia"/>
          <w:color w:val="auto"/>
        </w:rPr>
        <w:t>公示期间</w:t>
      </w:r>
      <w:r>
        <w:rPr>
          <w:color w:val="auto"/>
        </w:rPr>
        <w:t>内，无人进行查阅。</w:t>
      </w:r>
    </w:p>
    <w:p w14:paraId="15123CCA">
      <w:pPr>
        <w:pStyle w:val="35"/>
        <w:bidi w:val="0"/>
        <w:rPr>
          <w:rFonts w:eastAsia="宋体"/>
          <w:color w:val="auto"/>
        </w:rPr>
      </w:pPr>
      <w:bookmarkStart w:id="39" w:name="_Toc27232"/>
      <w:bookmarkStart w:id="40" w:name="_Toc532284866"/>
      <w:r>
        <w:rPr>
          <w:rFonts w:eastAsia="宋体"/>
          <w:color w:val="auto"/>
        </w:rPr>
        <w:t>公众提出意见情况</w:t>
      </w:r>
      <w:bookmarkEnd w:id="39"/>
      <w:bookmarkEnd w:id="40"/>
    </w:p>
    <w:p w14:paraId="04264C31">
      <w:pPr>
        <w:pStyle w:val="37"/>
        <w:bidi w:val="0"/>
        <w:rPr>
          <w:rFonts w:hint="eastAsia"/>
          <w:color w:val="auto"/>
        </w:rPr>
      </w:pPr>
      <w:r>
        <w:rPr>
          <w:rFonts w:hint="eastAsia"/>
          <w:color w:val="auto"/>
        </w:rPr>
        <w:t>在</w:t>
      </w:r>
      <w:r>
        <w:rPr>
          <w:color w:val="auto"/>
        </w:rPr>
        <w:t>本项目征求意见期间，我司</w:t>
      </w:r>
      <w:r>
        <w:rPr>
          <w:rFonts w:hint="eastAsia"/>
          <w:color w:val="auto"/>
        </w:rPr>
        <w:t>及</w:t>
      </w:r>
      <w:r>
        <w:rPr>
          <w:color w:val="auto"/>
        </w:rPr>
        <w:t>评价单位</w:t>
      </w:r>
      <w:r>
        <w:rPr>
          <w:rFonts w:hint="eastAsia"/>
          <w:color w:val="auto"/>
        </w:rPr>
        <w:t>未收到公众</w:t>
      </w:r>
      <w:r>
        <w:rPr>
          <w:color w:val="auto"/>
        </w:rPr>
        <w:t>意见表格，也未</w:t>
      </w:r>
      <w:r>
        <w:rPr>
          <w:rFonts w:hint="eastAsia"/>
          <w:color w:val="auto"/>
        </w:rPr>
        <w:t>接到</w:t>
      </w:r>
      <w:r>
        <w:rPr>
          <w:color w:val="auto"/>
        </w:rPr>
        <w:t>有关本项目的电话、邮件等</w:t>
      </w:r>
      <w:r>
        <w:rPr>
          <w:rFonts w:hint="eastAsia"/>
          <w:color w:val="auto"/>
        </w:rPr>
        <w:t>。</w:t>
      </w:r>
    </w:p>
    <w:p w14:paraId="06CEAAD1">
      <w:pPr>
        <w:pStyle w:val="37"/>
        <w:bidi w:val="0"/>
        <w:ind w:left="0" w:leftChars="0" w:firstLine="0" w:firstLineChars="0"/>
        <w:rPr>
          <w:rFonts w:hint="eastAsia" w:eastAsia="宋体"/>
          <w:color w:val="auto"/>
          <w:lang w:eastAsia="zh-CN"/>
        </w:rPr>
      </w:pPr>
      <w:r>
        <w:rPr>
          <w:rFonts w:hint="eastAsia" w:eastAsia="宋体"/>
          <w:color w:val="auto"/>
          <w:lang w:eastAsia="zh-CN"/>
        </w:rPr>
        <w:drawing>
          <wp:inline distT="0" distB="0" distL="114300" distR="114300">
            <wp:extent cx="5900420" cy="5349875"/>
            <wp:effectExtent l="0" t="0" r="5080" b="3175"/>
            <wp:docPr id="2" name="图片 2" descr="二次公示-外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二次公示-外联"/>
                    <pic:cNvPicPr>
                      <a:picLocks noChangeAspect="1"/>
                    </pic:cNvPicPr>
                  </pic:nvPicPr>
                  <pic:blipFill>
                    <a:blip r:embed="rId10"/>
                    <a:stretch>
                      <a:fillRect/>
                    </a:stretch>
                  </pic:blipFill>
                  <pic:spPr>
                    <a:xfrm>
                      <a:off x="0" y="0"/>
                      <a:ext cx="5900420" cy="5349875"/>
                    </a:xfrm>
                    <a:prstGeom prst="rect">
                      <a:avLst/>
                    </a:prstGeom>
                  </pic:spPr>
                </pic:pic>
              </a:graphicData>
            </a:graphic>
          </wp:inline>
        </w:drawing>
      </w:r>
    </w:p>
    <w:p w14:paraId="52C61C5B">
      <w:pPr>
        <w:pStyle w:val="37"/>
        <w:bidi w:val="0"/>
        <w:ind w:left="0" w:leftChars="0" w:firstLine="0" w:firstLineChars="0"/>
        <w:rPr>
          <w:rFonts w:hint="eastAsia" w:eastAsia="宋体"/>
          <w:color w:val="auto"/>
          <w:lang w:eastAsia="zh-CN"/>
        </w:rPr>
      </w:pPr>
    </w:p>
    <w:p w14:paraId="659A7F06">
      <w:pPr>
        <w:pStyle w:val="38"/>
        <w:bidi w:val="0"/>
        <w:rPr>
          <w:color w:val="auto"/>
        </w:rPr>
      </w:pPr>
      <w:r>
        <w:rPr>
          <w:color w:val="auto"/>
        </w:rPr>
        <w:t xml:space="preserve">图3-1 </w:t>
      </w:r>
      <w:r>
        <w:rPr>
          <w:rFonts w:hint="eastAsia"/>
          <w:color w:val="auto"/>
        </w:rPr>
        <w:t>征求意见稿网络</w:t>
      </w:r>
      <w:r>
        <w:rPr>
          <w:color w:val="auto"/>
        </w:rPr>
        <w:t>公示截图</w:t>
      </w:r>
    </w:p>
    <w:tbl>
      <w:tblPr>
        <w:tblStyle w:val="27"/>
        <w:tblW w:w="19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6"/>
        <w:gridCol w:w="9512"/>
      </w:tblGrid>
      <w:tr w14:paraId="1EA7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4" w:type="dxa"/>
            <w:tcBorders>
              <w:top w:val="nil"/>
              <w:left w:val="nil"/>
              <w:bottom w:val="nil"/>
              <w:right w:val="nil"/>
            </w:tcBorders>
            <w:shd w:val="clear" w:color="auto" w:fill="auto"/>
            <w:vAlign w:val="top"/>
          </w:tcPr>
          <w:p w14:paraId="249EBE88">
            <w:pPr>
              <w:pStyle w:val="37"/>
              <w:keepNext w:val="0"/>
              <w:keepLines w:val="0"/>
              <w:pageBreakBefore w:val="0"/>
              <w:widowControl w:val="0"/>
              <w:kinsoku/>
              <w:wordWrap/>
              <w:overflowPunct/>
              <w:topLinePunct/>
              <w:autoSpaceDE/>
              <w:autoSpaceDN/>
              <w:bidi w:val="0"/>
              <w:adjustRightInd/>
              <w:snapToGrid/>
              <w:spacing w:before="157" w:beforeLines="50"/>
              <w:ind w:left="0" w:leftChars="0" w:firstLine="0" w:firstLineChars="0"/>
              <w:jc w:val="center"/>
              <w:textAlignment w:val="auto"/>
              <w:rPr>
                <w:rFonts w:hint="eastAsia" w:ascii="Times New Roman" w:hAnsi="Times New Roman" w:eastAsia="宋体" w:cs="Times New Roman"/>
                <w:color w:val="auto"/>
                <w:sz w:val="24"/>
                <w:szCs w:val="24"/>
                <w:vertAlign w:val="baseline"/>
                <w:lang w:val="en-US" w:eastAsia="zh-CN" w:bidi="ar-SA"/>
              </w:rPr>
            </w:pPr>
            <w:r>
              <w:rPr>
                <w:color w:val="auto"/>
              </w:rPr>
              <w:drawing>
                <wp:anchor distT="0" distB="0" distL="114300" distR="114300" simplePos="0" relativeHeight="251665408" behindDoc="0" locked="0" layoutInCell="1" allowOverlap="1">
                  <wp:simplePos x="0" y="0"/>
                  <wp:positionH relativeFrom="column">
                    <wp:posOffset>2805430</wp:posOffset>
                  </wp:positionH>
                  <wp:positionV relativeFrom="paragraph">
                    <wp:posOffset>1512570</wp:posOffset>
                  </wp:positionV>
                  <wp:extent cx="2134870" cy="2658745"/>
                  <wp:effectExtent l="19050" t="19050" r="36830" b="27305"/>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1"/>
                          <a:stretch>
                            <a:fillRect/>
                          </a:stretch>
                        </pic:blipFill>
                        <pic:spPr>
                          <a:xfrm>
                            <a:off x="0" y="0"/>
                            <a:ext cx="2134870" cy="2658745"/>
                          </a:xfrm>
                          <a:prstGeom prst="rect">
                            <a:avLst/>
                          </a:prstGeom>
                          <a:noFill/>
                          <a:ln w="19050">
                            <a:solidFill>
                              <a:srgbClr val="FF0000"/>
                            </a:solidFill>
                          </a:ln>
                        </pic:spPr>
                      </pic:pic>
                    </a:graphicData>
                  </a:graphic>
                </wp:anchor>
              </w:drawing>
            </w:r>
            <w:r>
              <w:rPr>
                <w:color w:val="auto"/>
                <w:sz w:val="24"/>
              </w:rPr>
              <mc:AlternateContent>
                <mc:Choice Requires="wps">
                  <w:drawing>
                    <wp:anchor distT="0" distB="0" distL="114300" distR="114300" simplePos="0" relativeHeight="251663360" behindDoc="0" locked="0" layoutInCell="1" allowOverlap="1">
                      <wp:simplePos x="0" y="0"/>
                      <wp:positionH relativeFrom="column">
                        <wp:posOffset>4971415</wp:posOffset>
                      </wp:positionH>
                      <wp:positionV relativeFrom="paragraph">
                        <wp:posOffset>5747385</wp:posOffset>
                      </wp:positionV>
                      <wp:extent cx="800100" cy="970915"/>
                      <wp:effectExtent l="9525" t="9525" r="9525" b="10160"/>
                      <wp:wrapNone/>
                      <wp:docPr id="19" name="矩形 19"/>
                      <wp:cNvGraphicFramePr/>
                      <a:graphic xmlns:a="http://schemas.openxmlformats.org/drawingml/2006/main">
                        <a:graphicData uri="http://schemas.microsoft.com/office/word/2010/wordprocessingShape">
                          <wps:wsp>
                            <wps:cNvSpPr/>
                            <wps:spPr>
                              <a:xfrm>
                                <a:off x="5885180" y="5257165"/>
                                <a:ext cx="800100" cy="970915"/>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1.45pt;margin-top:452.55pt;height:76.45pt;width:63pt;z-index:251663360;v-text-anchor:middle;mso-width-relative:page;mso-height-relative:page;" filled="f" stroked="t" coordsize="21600,21600" o:gfxdata="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gQtLWtkAAAAMAQAADwAAAAAAAAABACAAAAAiAAAAZHJzL2Rv&#10;d25yZXYueG1sUEsBAhQAFAAAAAgAh07iQLjnv6pyAgAA2AQAAA4AAAAAAAAAAQAgAAAAKAEAAGRy&#10;cy9lMm9Eb2MueG1sUEsFBgAAAAAGAAYAWQEAAAwGAAAAAA==&#10;">
                      <v:fill on="f" focussize="0,0"/>
                      <v:stroke weight="1.5pt" color="#FF0000 [2404]" miterlimit="8" joinstyle="miter"/>
                      <v:imagedata o:title=""/>
                      <o:lock v:ext="edit" aspectratio="f"/>
                    </v:rect>
                  </w:pict>
                </mc:Fallback>
              </mc:AlternateContent>
            </w:r>
            <w:r>
              <w:rPr>
                <w:color w:val="auto"/>
                <w:sz w:val="24"/>
              </w:rPr>
              <mc:AlternateContent>
                <mc:Choice Requires="wps">
                  <w:drawing>
                    <wp:anchor distT="0" distB="0" distL="114300" distR="114300" simplePos="0" relativeHeight="251664384" behindDoc="0" locked="0" layoutInCell="1" allowOverlap="1">
                      <wp:simplePos x="0" y="0"/>
                      <wp:positionH relativeFrom="column">
                        <wp:posOffset>4594860</wp:posOffset>
                      </wp:positionH>
                      <wp:positionV relativeFrom="paragraph">
                        <wp:posOffset>4140835</wp:posOffset>
                      </wp:positionV>
                      <wp:extent cx="776605" cy="1606550"/>
                      <wp:effectExtent l="8890" t="4445" r="14605" b="8255"/>
                      <wp:wrapNone/>
                      <wp:docPr id="20" name="直接连接符 20"/>
                      <wp:cNvGraphicFramePr/>
                      <a:graphic xmlns:a="http://schemas.openxmlformats.org/drawingml/2006/main">
                        <a:graphicData uri="http://schemas.microsoft.com/office/word/2010/wordprocessingShape">
                          <wps:wsp>
                            <wps:cNvCnPr>
                              <a:endCxn id="19" idx="0"/>
                            </wps:cNvCnPr>
                            <wps:spPr>
                              <a:xfrm>
                                <a:off x="5532755" y="3650615"/>
                                <a:ext cx="776605" cy="1606550"/>
                              </a:xfrm>
                              <a:prstGeom prst="line">
                                <a:avLst/>
                              </a:prstGeom>
                              <a:ln w="1905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61.8pt;margin-top:326.05pt;height:126.5pt;width:61.15pt;z-index:251664384;mso-width-relative:page;mso-height-relative:page;" filled="f" stroked="t" coordsize="21600,21600" o:gfxdata="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x+ocjYAAAACwEAAA8AAAAAAAAAAQAgAAAA&#10;IgAAAGRycy9kb3ducmV2LnhtbFBLAQIUABQAAAAIAIdO4kBWoX50CwIAAO0DAAAOAAAAAAAAAAEA&#10;IAAAACcBAABkcnMvZTJvRG9jLnhtbFBLBQYAAAAABgAGAFkBAACkBQAAAAA=&#10;">
                      <v:fill on="f" focussize="0,0"/>
                      <v:stroke weight="1.5pt" color="#FF0000 [3204]" miterlimit="8" joinstyle="miter"/>
                      <v:imagedata o:title=""/>
                      <o:lock v:ext="edit" aspectratio="f"/>
                    </v:line>
                  </w:pict>
                </mc:Fallback>
              </mc:AlternateContent>
            </w:r>
            <w:r>
              <w:rPr>
                <w:rFonts w:hint="eastAsia" w:eastAsia="宋体"/>
                <w:color w:val="auto"/>
                <w:vertAlign w:val="baseline"/>
                <w:lang w:eastAsia="zh-CN"/>
              </w:rPr>
              <w:drawing>
                <wp:inline distT="0" distB="0" distL="114300" distR="114300">
                  <wp:extent cx="5895975" cy="7635240"/>
                  <wp:effectExtent l="0" t="0" r="9525" b="3810"/>
                  <wp:docPr id="21" name="图片 21" descr="8a5c60d5f4939414ab2e77f5d6521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8a5c60d5f4939414ab2e77f5d65212f"/>
                          <pic:cNvPicPr>
                            <a:picLocks noChangeAspect="1"/>
                          </pic:cNvPicPr>
                        </pic:nvPicPr>
                        <pic:blipFill>
                          <a:blip r:embed="rId12"/>
                          <a:stretch>
                            <a:fillRect/>
                          </a:stretch>
                        </pic:blipFill>
                        <pic:spPr>
                          <a:xfrm>
                            <a:off x="0" y="0"/>
                            <a:ext cx="5895975" cy="7635240"/>
                          </a:xfrm>
                          <a:prstGeom prst="rect">
                            <a:avLst/>
                          </a:prstGeom>
                        </pic:spPr>
                      </pic:pic>
                    </a:graphicData>
                  </a:graphic>
                </wp:inline>
              </w:drawing>
            </w:r>
          </w:p>
        </w:tc>
        <w:tc>
          <w:tcPr>
            <w:tcW w:w="9514" w:type="dxa"/>
            <w:tcBorders>
              <w:top w:val="nil"/>
              <w:left w:val="nil"/>
              <w:bottom w:val="nil"/>
              <w:right w:val="nil"/>
            </w:tcBorders>
          </w:tcPr>
          <w:p w14:paraId="191B3C42">
            <w:pPr>
              <w:pStyle w:val="37"/>
              <w:keepNext w:val="0"/>
              <w:keepLines w:val="0"/>
              <w:pageBreakBefore w:val="0"/>
              <w:widowControl w:val="0"/>
              <w:kinsoku/>
              <w:wordWrap/>
              <w:overflowPunct/>
              <w:topLinePunct/>
              <w:autoSpaceDE/>
              <w:autoSpaceDN/>
              <w:bidi w:val="0"/>
              <w:adjustRightInd/>
              <w:snapToGrid/>
              <w:spacing w:before="157" w:beforeLines="50"/>
              <w:ind w:left="0" w:leftChars="0" w:firstLine="0" w:firstLineChars="0"/>
              <w:jc w:val="center"/>
              <w:textAlignment w:val="auto"/>
              <w:rPr>
                <w:rFonts w:hint="eastAsia" w:eastAsia="宋体"/>
                <w:color w:val="auto"/>
                <w:vertAlign w:val="baseline"/>
                <w:lang w:eastAsia="zh-CN"/>
              </w:rPr>
            </w:pPr>
            <w:r>
              <w:rPr>
                <w:color w:val="auto"/>
                <w:sz w:val="24"/>
              </w:rPr>
              <mc:AlternateContent>
                <mc:Choice Requires="wps">
                  <w:drawing>
                    <wp:anchor distT="0" distB="0" distL="114300" distR="114300" simplePos="0" relativeHeight="251659264" behindDoc="0" locked="0" layoutInCell="1" allowOverlap="1">
                      <wp:simplePos x="0" y="0"/>
                      <wp:positionH relativeFrom="column">
                        <wp:posOffset>5047615</wp:posOffset>
                      </wp:positionH>
                      <wp:positionV relativeFrom="paragraph">
                        <wp:posOffset>6661785</wp:posOffset>
                      </wp:positionV>
                      <wp:extent cx="800100" cy="955040"/>
                      <wp:effectExtent l="9525" t="9525" r="9525" b="26035"/>
                      <wp:wrapNone/>
                      <wp:docPr id="5" name="矩形 5"/>
                      <wp:cNvGraphicFramePr/>
                      <a:graphic xmlns:a="http://schemas.openxmlformats.org/drawingml/2006/main">
                        <a:graphicData uri="http://schemas.microsoft.com/office/word/2010/wordprocessingShape">
                          <wps:wsp>
                            <wps:cNvSpPr/>
                            <wps:spPr>
                              <a:xfrm>
                                <a:off x="5885180" y="5257165"/>
                                <a:ext cx="800100" cy="955040"/>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7.45pt;margin-top:524.55pt;height:75.2pt;width:63pt;z-index:251659264;v-text-anchor:middle;mso-width-relative:page;mso-height-relative:page;" filled="f" stroked="t" coordsize="21600,21600" o:gfxdata="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IonNqbaAAAADQEAAA8AAAAAAAAAAQAgAAAAIgAAAGRycy9k&#10;b3ducmV2LnhtbFBLAQIUABQAAAAIAIdO4kDpCxTacgIAANYEAAAOAAAAAAAAAAEAIAAAACkBAABk&#10;cnMvZTJvRG9jLnhtbFBLBQYAAAAABgAGAFkBAAANBgAAAAA=&#10;">
                      <v:fill on="f" focussize="0,0"/>
                      <v:stroke weight="1.5pt" color="#FF0000 [2404]" miterlimit="8" joinstyle="miter"/>
                      <v:imagedata o:title=""/>
                      <o:lock v:ext="edit" aspectratio="f"/>
                    </v:rect>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4671060</wp:posOffset>
                      </wp:positionH>
                      <wp:positionV relativeFrom="paragraph">
                        <wp:posOffset>5055235</wp:posOffset>
                      </wp:positionV>
                      <wp:extent cx="776605" cy="1606550"/>
                      <wp:effectExtent l="8890" t="4445" r="14605" b="8255"/>
                      <wp:wrapNone/>
                      <wp:docPr id="13" name="直接连接符 13"/>
                      <wp:cNvGraphicFramePr/>
                      <a:graphic xmlns:a="http://schemas.openxmlformats.org/drawingml/2006/main">
                        <a:graphicData uri="http://schemas.microsoft.com/office/word/2010/wordprocessingShape">
                          <wps:wsp>
                            <wps:cNvCnPr>
                              <a:endCxn id="5" idx="0"/>
                            </wps:cNvCnPr>
                            <wps:spPr>
                              <a:xfrm>
                                <a:off x="5532755" y="3650615"/>
                                <a:ext cx="776605" cy="1606550"/>
                              </a:xfrm>
                              <a:prstGeom prst="line">
                                <a:avLst/>
                              </a:prstGeom>
                              <a:ln w="1905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67.8pt;margin-top:398.05pt;height:126.5pt;width:61.15pt;z-index:251660288;mso-width-relative:page;mso-height-relative:page;" filled="f" stroked="t" coordsize="21600,21600" o:gfxdata="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gRE9gAAAAMAQAADwAAAAAAAAABACAAAAAi&#10;AAAAZHJzL2Rvd25yZXYueG1sUEsBAhQAFAAAAAgAh07iQJcO2TkKAgAA7AMAAA4AAAAAAAAAAQAg&#10;AAAAJwEAAGRycy9lMm9Eb2MueG1sUEsFBgAAAAAGAAYAWQEAAKMFAAAAAA==&#10;">
                      <v:fill on="f" focussize="0,0"/>
                      <v:stroke weight="1.5pt" color="#FF0000 [3204]" miterlimit="8" joinstyle="miter"/>
                      <v:imagedata o:title=""/>
                      <o:lock v:ext="edit" aspectratio="f"/>
                    </v:line>
                  </w:pict>
                </mc:Fallback>
              </mc:AlternateContent>
            </w:r>
          </w:p>
        </w:tc>
      </w:tr>
    </w:tbl>
    <w:p w14:paraId="32ED3269">
      <w:pPr>
        <w:pStyle w:val="38"/>
        <w:bidi w:val="0"/>
        <w:rPr>
          <w:rFonts w:hint="eastAsia"/>
          <w:color w:val="auto"/>
          <w:lang w:eastAsia="zh-CN"/>
        </w:rPr>
      </w:pPr>
      <w:r>
        <w:rPr>
          <w:color w:val="auto"/>
        </w:rPr>
        <w:t>图3-2</w:t>
      </w:r>
      <w:r>
        <w:rPr>
          <w:rFonts w:hint="eastAsia"/>
          <w:color w:val="auto"/>
          <w:lang w:val="en-US" w:eastAsia="zh-CN"/>
        </w:rPr>
        <w:t>-a</w:t>
      </w:r>
      <w:r>
        <w:rPr>
          <w:color w:val="auto"/>
        </w:rPr>
        <w:t xml:space="preserve">  </w:t>
      </w:r>
      <w:r>
        <w:rPr>
          <w:rFonts w:hint="eastAsia"/>
          <w:color w:val="auto"/>
        </w:rPr>
        <w:t>征求意见稿报纸</w:t>
      </w:r>
      <w:r>
        <w:rPr>
          <w:color w:val="auto"/>
        </w:rPr>
        <w:t>公示</w:t>
      </w:r>
      <w:r>
        <w:rPr>
          <w:rFonts w:hint="eastAsia"/>
          <w:color w:val="auto"/>
          <w:lang w:eastAsia="zh-CN"/>
        </w:rPr>
        <w:t>（</w:t>
      </w:r>
      <w:r>
        <w:rPr>
          <w:color w:val="auto"/>
        </w:rPr>
        <w:t>202</w:t>
      </w:r>
      <w:r>
        <w:rPr>
          <w:rFonts w:hint="eastAsia"/>
          <w:color w:val="auto"/>
          <w:lang w:val="en-US" w:eastAsia="zh-CN"/>
        </w:rPr>
        <w:t>6</w:t>
      </w:r>
      <w:r>
        <w:rPr>
          <w:color w:val="auto"/>
        </w:rPr>
        <w:t>年</w:t>
      </w:r>
      <w:r>
        <w:rPr>
          <w:rFonts w:hint="eastAsia"/>
          <w:color w:val="auto"/>
          <w:lang w:val="en-US" w:eastAsia="zh-CN"/>
        </w:rPr>
        <w:t>3</w:t>
      </w:r>
      <w:r>
        <w:rPr>
          <w:color w:val="auto"/>
        </w:rPr>
        <w:t>月</w:t>
      </w:r>
      <w:r>
        <w:rPr>
          <w:rFonts w:hint="eastAsia"/>
          <w:color w:val="auto"/>
          <w:lang w:val="en-US" w:eastAsia="zh-CN"/>
        </w:rPr>
        <w:t>13</w:t>
      </w:r>
      <w:r>
        <w:rPr>
          <w:color w:val="auto"/>
        </w:rPr>
        <w:t>日</w:t>
      </w:r>
      <w:r>
        <w:rPr>
          <w:rFonts w:hint="eastAsia"/>
          <w:color w:val="auto"/>
          <w:lang w:eastAsia="zh-CN"/>
        </w:rPr>
        <w:t>）</w:t>
      </w:r>
    </w:p>
    <w:p w14:paraId="355D15A3">
      <w:pPr>
        <w:rPr>
          <w:rFonts w:hint="eastAsia"/>
          <w:color w:val="auto"/>
          <w:lang w:eastAsia="zh-CN"/>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14"/>
      </w:tblGrid>
      <w:tr w14:paraId="128CE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14" w:type="dxa"/>
          </w:tcPr>
          <w:p w14:paraId="26371339">
            <w:pPr>
              <w:pStyle w:val="37"/>
              <w:keepNext w:val="0"/>
              <w:keepLines w:val="0"/>
              <w:pageBreakBefore w:val="0"/>
              <w:widowControl w:val="0"/>
              <w:kinsoku/>
              <w:wordWrap/>
              <w:overflowPunct/>
              <w:topLinePunct/>
              <w:autoSpaceDE/>
              <w:autoSpaceDN/>
              <w:bidi w:val="0"/>
              <w:adjustRightInd/>
              <w:snapToGrid/>
              <w:spacing w:before="157" w:beforeLines="50"/>
              <w:ind w:left="0" w:leftChars="0" w:firstLine="0" w:firstLineChars="0"/>
              <w:jc w:val="center"/>
              <w:textAlignment w:val="auto"/>
              <w:rPr>
                <w:rFonts w:hint="eastAsia" w:eastAsia="宋体"/>
                <w:color w:val="auto"/>
                <w:vertAlign w:val="baseline"/>
                <w:lang w:eastAsia="zh-CN"/>
              </w:rPr>
            </w:pPr>
            <w:r>
              <w:rPr>
                <w:color w:val="auto"/>
              </w:rPr>
              <w:drawing>
                <wp:anchor distT="0" distB="0" distL="114300" distR="114300" simplePos="0" relativeHeight="251666432" behindDoc="0" locked="0" layoutInCell="1" allowOverlap="1">
                  <wp:simplePos x="0" y="0"/>
                  <wp:positionH relativeFrom="column">
                    <wp:posOffset>1591310</wp:posOffset>
                  </wp:positionH>
                  <wp:positionV relativeFrom="paragraph">
                    <wp:posOffset>1699260</wp:posOffset>
                  </wp:positionV>
                  <wp:extent cx="2458085" cy="3069590"/>
                  <wp:effectExtent l="19050" t="19050" r="37465" b="3556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3"/>
                          <a:stretch>
                            <a:fillRect/>
                          </a:stretch>
                        </pic:blipFill>
                        <pic:spPr>
                          <a:xfrm>
                            <a:off x="0" y="0"/>
                            <a:ext cx="2458085" cy="3069590"/>
                          </a:xfrm>
                          <a:prstGeom prst="rect">
                            <a:avLst/>
                          </a:prstGeom>
                          <a:noFill/>
                          <a:ln w="19050">
                            <a:solidFill>
                              <a:srgbClr val="FF0000"/>
                            </a:solidFill>
                          </a:ln>
                        </pic:spPr>
                      </pic:pic>
                    </a:graphicData>
                  </a:graphic>
                </wp:anchor>
              </w:drawing>
            </w: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4933315</wp:posOffset>
                      </wp:positionH>
                      <wp:positionV relativeFrom="paragraph">
                        <wp:posOffset>5286375</wp:posOffset>
                      </wp:positionV>
                      <wp:extent cx="847725" cy="1075055"/>
                      <wp:effectExtent l="9525" t="9525" r="19050" b="20320"/>
                      <wp:wrapNone/>
                      <wp:docPr id="10" name="矩形 10"/>
                      <wp:cNvGraphicFramePr/>
                      <a:graphic xmlns:a="http://schemas.openxmlformats.org/drawingml/2006/main">
                        <a:graphicData uri="http://schemas.microsoft.com/office/word/2010/wordprocessingShape">
                          <wps:wsp>
                            <wps:cNvSpPr/>
                            <wps:spPr>
                              <a:xfrm>
                                <a:off x="0" y="0"/>
                                <a:ext cx="847725" cy="1075055"/>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8.45pt;margin-top:416.25pt;height:84.65pt;width:66.75pt;z-index:251661312;v-text-anchor:middle;mso-width-relative:page;mso-height-relative:page;" filled="f" stroked="t" coordsize="21600,21600" o:gfxdata="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7As5s2gAAAAwBAAAPAAAAAAAAAAEAIAAAACIAAABkcnMvZG93bnJldi54&#10;bWxQSwECFAAUAAAACACHTuJAVOejL2oCAADNBAAADgAAAAAAAAABACAAAAApAQAAZHJzL2Uyb0Rv&#10;Yy54bWxQSwUGAAAAAAYABgBZAQAABQYAAAAA&#10;">
                      <v:fill on="f" focussize="0,0"/>
                      <v:stroke weight="1.5pt" color="#FF0000 [2404]" miterlimit="8" joinstyle="miter"/>
                      <v:imagedata o:title=""/>
                      <o:lock v:ext="edit" aspectratio="f"/>
                    </v:rect>
                  </w:pict>
                </mc:Fallback>
              </mc:AlternateContent>
            </w: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4067810</wp:posOffset>
                      </wp:positionH>
                      <wp:positionV relativeFrom="paragraph">
                        <wp:posOffset>3629660</wp:posOffset>
                      </wp:positionV>
                      <wp:extent cx="1289685" cy="1656715"/>
                      <wp:effectExtent l="7620" t="5715" r="17145" b="13970"/>
                      <wp:wrapNone/>
                      <wp:docPr id="8" name="直接连接符 8"/>
                      <wp:cNvGraphicFramePr/>
                      <a:graphic xmlns:a="http://schemas.openxmlformats.org/drawingml/2006/main">
                        <a:graphicData uri="http://schemas.microsoft.com/office/word/2010/wordprocessingShape">
                          <wps:wsp>
                            <wps:cNvCnPr>
                              <a:endCxn id="10" idx="0"/>
                            </wps:cNvCnPr>
                            <wps:spPr>
                              <a:xfrm>
                                <a:off x="0" y="0"/>
                                <a:ext cx="1289685" cy="1656715"/>
                              </a:xfrm>
                              <a:prstGeom prst="line">
                                <a:avLst/>
                              </a:prstGeom>
                              <a:ln w="1905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20.3pt;margin-top:285.8pt;height:130.45pt;width:101.55pt;z-index:251662336;mso-width-relative:page;mso-height-relative:page;" filled="f" stroked="t" coordsize="21600,21600" o:gfxdata="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eTykLXAAAACwEAAA8AAAAAAAAAAQAgAAAAIgAAAGRycy9kb3ducmV2&#10;LnhtbFBLAQIUABQAAAAIAIdO4kBc2WEs/QEAAOADAAAOAAAAAAAAAAEAIAAAACYBAABkcnMvZTJv&#10;RG9jLnhtbFBLBQYAAAAABgAGAFkBAACVBQAAAAA=&#10;">
                      <v:fill on="f" focussize="0,0"/>
                      <v:stroke weight="1.5pt" color="#FF0000 [3204]" miterlimit="8" joinstyle="miter"/>
                      <v:imagedata o:title=""/>
                      <o:lock v:ext="edit" aspectratio="f"/>
                    </v:line>
                  </w:pict>
                </mc:Fallback>
              </mc:AlternateContent>
            </w:r>
            <w:r>
              <w:rPr>
                <w:rFonts w:hint="eastAsia" w:eastAsia="宋体"/>
                <w:color w:val="auto"/>
                <w:vertAlign w:val="baseline"/>
                <w:lang w:eastAsia="zh-CN"/>
              </w:rPr>
              <w:drawing>
                <wp:inline distT="0" distB="0" distL="114300" distR="114300">
                  <wp:extent cx="5895975" cy="7635240"/>
                  <wp:effectExtent l="0" t="0" r="9525" b="3810"/>
                  <wp:docPr id="4" name="图片 4" descr="b57dd169fddf3a06fb4a2d2719b30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57dd169fddf3a06fb4a2d2719b30d2"/>
                          <pic:cNvPicPr>
                            <a:picLocks noChangeAspect="1"/>
                          </pic:cNvPicPr>
                        </pic:nvPicPr>
                        <pic:blipFill>
                          <a:blip r:embed="rId14"/>
                          <a:stretch>
                            <a:fillRect/>
                          </a:stretch>
                        </pic:blipFill>
                        <pic:spPr>
                          <a:xfrm>
                            <a:off x="0" y="0"/>
                            <a:ext cx="5895975" cy="7635240"/>
                          </a:xfrm>
                          <a:prstGeom prst="rect">
                            <a:avLst/>
                          </a:prstGeom>
                        </pic:spPr>
                      </pic:pic>
                    </a:graphicData>
                  </a:graphic>
                </wp:inline>
              </w:drawing>
            </w:r>
          </w:p>
        </w:tc>
      </w:tr>
    </w:tbl>
    <w:p w14:paraId="41B4092B">
      <w:pPr>
        <w:pStyle w:val="38"/>
        <w:bidi w:val="0"/>
        <w:rPr>
          <w:rFonts w:hint="eastAsia"/>
          <w:color w:val="auto"/>
          <w:highlight w:val="none"/>
          <w:lang w:eastAsia="zh-CN"/>
        </w:rPr>
      </w:pPr>
      <w:r>
        <w:rPr>
          <w:color w:val="auto"/>
          <w:highlight w:val="none"/>
        </w:rPr>
        <w:t>图3-</w:t>
      </w:r>
      <w:r>
        <w:rPr>
          <w:rFonts w:hint="eastAsia"/>
          <w:color w:val="auto"/>
          <w:highlight w:val="none"/>
          <w:lang w:val="en-US" w:eastAsia="zh-CN"/>
        </w:rPr>
        <w:t>2-b</w:t>
      </w:r>
      <w:r>
        <w:rPr>
          <w:color w:val="auto"/>
          <w:highlight w:val="none"/>
        </w:rPr>
        <w:t xml:space="preserve"> </w:t>
      </w:r>
      <w:r>
        <w:rPr>
          <w:rFonts w:hint="eastAsia"/>
          <w:color w:val="auto"/>
          <w:highlight w:val="none"/>
        </w:rPr>
        <w:t>征求意见稿报纸</w:t>
      </w:r>
      <w:r>
        <w:rPr>
          <w:color w:val="auto"/>
          <w:highlight w:val="none"/>
        </w:rPr>
        <w:t>公示</w:t>
      </w:r>
      <w:r>
        <w:rPr>
          <w:rFonts w:hint="eastAsia"/>
          <w:color w:val="auto"/>
          <w:highlight w:val="none"/>
          <w:lang w:eastAsia="zh-CN"/>
        </w:rPr>
        <w:t>（</w:t>
      </w:r>
      <w:r>
        <w:rPr>
          <w:color w:val="auto"/>
          <w:highlight w:val="none"/>
        </w:rPr>
        <w:t>202</w:t>
      </w:r>
      <w:r>
        <w:rPr>
          <w:rFonts w:hint="eastAsia"/>
          <w:color w:val="auto"/>
          <w:highlight w:val="none"/>
          <w:lang w:val="en-US" w:eastAsia="zh-CN"/>
        </w:rPr>
        <w:t>6</w:t>
      </w:r>
      <w:r>
        <w:rPr>
          <w:color w:val="auto"/>
          <w:highlight w:val="none"/>
        </w:rPr>
        <w:t>年</w:t>
      </w:r>
      <w:r>
        <w:rPr>
          <w:rFonts w:hint="eastAsia"/>
          <w:color w:val="auto"/>
          <w:highlight w:val="none"/>
          <w:lang w:val="en-US" w:eastAsia="zh-CN"/>
        </w:rPr>
        <w:t>3</w:t>
      </w:r>
      <w:r>
        <w:rPr>
          <w:color w:val="auto"/>
          <w:highlight w:val="none"/>
        </w:rPr>
        <w:t>月</w:t>
      </w:r>
      <w:r>
        <w:rPr>
          <w:rFonts w:hint="eastAsia"/>
          <w:color w:val="auto"/>
          <w:highlight w:val="none"/>
          <w:lang w:val="en-US" w:eastAsia="zh-CN"/>
        </w:rPr>
        <w:t>16</w:t>
      </w:r>
      <w:r>
        <w:rPr>
          <w:color w:val="auto"/>
          <w:highlight w:val="none"/>
        </w:rPr>
        <w:t>日</w:t>
      </w:r>
      <w:r>
        <w:rPr>
          <w:rFonts w:hint="eastAsia"/>
          <w:color w:val="auto"/>
          <w:highlight w:val="none"/>
          <w:lang w:eastAsia="zh-CN"/>
        </w:rPr>
        <w:t>）</w:t>
      </w:r>
    </w:p>
    <w:p w14:paraId="34710F21">
      <w:pPr>
        <w:rPr>
          <w:color w:val="auto"/>
          <w:highlight w:val="none"/>
        </w:rPr>
      </w:pPr>
    </w:p>
    <w:p w14:paraId="6B8B4E94">
      <w:pPr>
        <w:rPr>
          <w:color w:val="auto"/>
          <w:highlight w:val="none"/>
        </w:rPr>
        <w:sectPr>
          <w:pgSz w:w="11906" w:h="16838"/>
          <w:pgMar w:top="1418" w:right="1304" w:bottom="1304" w:left="1304" w:header="851" w:footer="851" w:gutter="0"/>
          <w:cols w:space="425" w:num="1"/>
          <w:docGrid w:linePitch="312" w:charSpace="0"/>
        </w:sect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6"/>
        <w:gridCol w:w="4698"/>
      </w:tblGrid>
      <w:tr w14:paraId="7271D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6" w:type="dxa"/>
            <w:vAlign w:val="center"/>
          </w:tcPr>
          <w:p w14:paraId="4AF1D1C2">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eastAsia="宋体"/>
                <w:color w:val="auto"/>
                <w:vertAlign w:val="baseline"/>
                <w:lang w:eastAsia="zh-CN"/>
              </w:rPr>
            </w:pPr>
            <w:r>
              <w:rPr>
                <w:rFonts w:hint="eastAsia" w:eastAsia="宋体"/>
                <w:color w:val="auto"/>
                <w:vertAlign w:val="baseline"/>
                <w:lang w:eastAsia="zh-CN"/>
              </w:rPr>
              <w:drawing>
                <wp:inline distT="0" distB="0" distL="114300" distR="114300">
                  <wp:extent cx="2861310" cy="2145665"/>
                  <wp:effectExtent l="0" t="0" r="15240" b="6985"/>
                  <wp:docPr id="7" name="图片 7" descr="微信图片_2025071914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50719144701"/>
                          <pic:cNvPicPr>
                            <a:picLocks noChangeAspect="1"/>
                          </pic:cNvPicPr>
                        </pic:nvPicPr>
                        <pic:blipFill>
                          <a:blip r:embed="rId15"/>
                          <a:stretch>
                            <a:fillRect/>
                          </a:stretch>
                        </pic:blipFill>
                        <pic:spPr>
                          <a:xfrm>
                            <a:off x="0" y="0"/>
                            <a:ext cx="2861310" cy="2145665"/>
                          </a:xfrm>
                          <a:prstGeom prst="rect">
                            <a:avLst/>
                          </a:prstGeom>
                        </pic:spPr>
                      </pic:pic>
                    </a:graphicData>
                  </a:graphic>
                </wp:inline>
              </w:drawing>
            </w:r>
          </w:p>
        </w:tc>
        <w:tc>
          <w:tcPr>
            <w:tcW w:w="4698" w:type="dxa"/>
            <w:vAlign w:val="center"/>
          </w:tcPr>
          <w:p w14:paraId="2D146981">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eastAsia="宋体"/>
                <w:color w:val="auto"/>
                <w:vertAlign w:val="baseline"/>
                <w:lang w:eastAsia="zh-CN"/>
              </w:rPr>
            </w:pPr>
            <w:r>
              <w:rPr>
                <w:rFonts w:hint="eastAsia" w:eastAsia="宋体"/>
                <w:color w:val="auto"/>
                <w:vertAlign w:val="baseline"/>
                <w:lang w:eastAsia="zh-CN"/>
              </w:rPr>
              <w:drawing>
                <wp:inline distT="0" distB="0" distL="114300" distR="114300">
                  <wp:extent cx="2630805" cy="2431415"/>
                  <wp:effectExtent l="0" t="0" r="10795" b="6985"/>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6"/>
                          <a:stretch>
                            <a:fillRect/>
                          </a:stretch>
                        </pic:blipFill>
                        <pic:spPr>
                          <a:xfrm>
                            <a:off x="0" y="0"/>
                            <a:ext cx="2630805" cy="2431415"/>
                          </a:xfrm>
                          <a:prstGeom prst="rect">
                            <a:avLst/>
                          </a:prstGeom>
                        </pic:spPr>
                      </pic:pic>
                    </a:graphicData>
                  </a:graphic>
                </wp:inline>
              </w:drawing>
            </w:r>
          </w:p>
        </w:tc>
      </w:tr>
      <w:tr w14:paraId="1069D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14" w:type="dxa"/>
            <w:gridSpan w:val="2"/>
            <w:vAlign w:val="center"/>
          </w:tcPr>
          <w:p w14:paraId="6117706A">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color w:val="auto"/>
                <w:vertAlign w:val="baseline"/>
              </w:rPr>
            </w:pPr>
            <w:r>
              <w:rPr>
                <w:rFonts w:hint="eastAsia"/>
                <w:color w:val="auto"/>
                <w:lang w:val="en-US" w:eastAsia="zh-CN"/>
              </w:rPr>
              <w:t>松山镇</w:t>
            </w:r>
          </w:p>
        </w:tc>
      </w:tr>
    </w:tbl>
    <w:p w14:paraId="67A25F8D">
      <w:pPr>
        <w:jc w:val="center"/>
        <w:rPr>
          <w:rFonts w:hint="default" w:eastAsia="宋体"/>
          <w:b/>
          <w:bCs/>
          <w:color w:val="auto"/>
          <w:lang w:val="en-US" w:eastAsia="zh-CN"/>
        </w:rPr>
      </w:pPr>
      <w:r>
        <w:rPr>
          <w:b/>
          <w:bCs/>
          <w:color w:val="auto"/>
        </w:rPr>
        <w:t>图3-</w:t>
      </w:r>
      <w:r>
        <w:rPr>
          <w:rFonts w:hint="eastAsia"/>
          <w:b/>
          <w:bCs/>
          <w:color w:val="auto"/>
          <w:lang w:val="en-US" w:eastAsia="zh-CN"/>
        </w:rPr>
        <w:t>3</w:t>
      </w:r>
      <w:r>
        <w:rPr>
          <w:b/>
          <w:bCs/>
          <w:color w:val="auto"/>
        </w:rPr>
        <w:t xml:space="preserve"> </w:t>
      </w:r>
      <w:r>
        <w:rPr>
          <w:rFonts w:hint="eastAsia"/>
          <w:b/>
          <w:bCs/>
          <w:color w:val="auto"/>
        </w:rPr>
        <w:t>征求意见稿</w:t>
      </w:r>
      <w:r>
        <w:rPr>
          <w:rFonts w:hint="eastAsia"/>
          <w:b/>
          <w:bCs/>
          <w:color w:val="auto"/>
          <w:lang w:val="en-US" w:eastAsia="zh-CN"/>
        </w:rPr>
        <w:t>现场公告张贴</w:t>
      </w:r>
    </w:p>
    <w:p w14:paraId="669F0DD6">
      <w:pPr>
        <w:pStyle w:val="42"/>
        <w:bidi w:val="0"/>
        <w:rPr>
          <w:color w:val="auto"/>
        </w:rPr>
      </w:pPr>
      <w:bookmarkStart w:id="41" w:name="_Toc30335"/>
      <w:r>
        <w:rPr>
          <w:color w:val="auto"/>
        </w:rPr>
        <w:t>公众意见处理情况</w:t>
      </w:r>
      <w:bookmarkEnd w:id="41"/>
    </w:p>
    <w:p w14:paraId="75019F5A">
      <w:pPr>
        <w:pStyle w:val="37"/>
        <w:bidi w:val="0"/>
        <w:rPr>
          <w:color w:val="auto"/>
        </w:rPr>
      </w:pPr>
      <w:r>
        <w:rPr>
          <w:rFonts w:hint="eastAsia"/>
          <w:color w:val="auto"/>
          <w:lang w:val="en-US" w:eastAsia="zh-CN"/>
        </w:rPr>
        <w:t>本次</w:t>
      </w:r>
      <w:r>
        <w:rPr>
          <w:color w:val="auto"/>
        </w:rPr>
        <w:t>公众参与在</w:t>
      </w:r>
      <w:r>
        <w:rPr>
          <w:rFonts w:hint="eastAsia" w:cs="Times New Roman"/>
          <w:color w:val="auto"/>
          <w:spacing w:val="-4"/>
          <w:sz w:val="24"/>
          <w:szCs w:val="24"/>
          <w:lang w:val="en-US" w:eastAsia="zh-CN"/>
        </w:rPr>
        <w:t>福建环保</w:t>
      </w:r>
      <w:r>
        <w:rPr>
          <w:rFonts w:hint="eastAsia" w:ascii="Times New Roman" w:hAnsi="Times New Roman" w:eastAsia="宋体" w:cs="Times New Roman"/>
          <w:color w:val="auto"/>
          <w:spacing w:val="-4"/>
          <w:sz w:val="24"/>
          <w:szCs w:val="24"/>
          <w:lang w:val="en-US" w:eastAsia="zh-CN"/>
        </w:rPr>
        <w:t>网站</w:t>
      </w:r>
      <w:r>
        <w:rPr>
          <w:color w:val="auto"/>
        </w:rPr>
        <w:t>进行</w:t>
      </w:r>
      <w:r>
        <w:rPr>
          <w:rFonts w:hint="eastAsia"/>
          <w:color w:val="auto"/>
          <w:lang w:val="en-US" w:eastAsia="zh-CN"/>
        </w:rPr>
        <w:t>征求意见</w:t>
      </w:r>
      <w:r>
        <w:rPr>
          <w:color w:val="auto"/>
        </w:rPr>
        <w:t>公示</w:t>
      </w:r>
      <w:r>
        <w:rPr>
          <w:rFonts w:hint="eastAsia"/>
          <w:color w:val="auto"/>
          <w:lang w:val="en-US" w:eastAsia="zh-CN"/>
        </w:rPr>
        <w:t>和全文公示</w:t>
      </w:r>
      <w:r>
        <w:rPr>
          <w:color w:val="auto"/>
        </w:rPr>
        <w:t>，采取了两次</w:t>
      </w:r>
      <w:r>
        <w:rPr>
          <w:rFonts w:hint="eastAsia"/>
          <w:color w:val="auto"/>
          <w:lang w:val="en-US" w:eastAsia="zh-CN"/>
        </w:rPr>
        <w:t>报纸（海峡导报），并在项目周边村镇公告栏以张贴公告方式</w:t>
      </w:r>
      <w:r>
        <w:rPr>
          <w:color w:val="auto"/>
        </w:rPr>
        <w:t>进行</w:t>
      </w:r>
      <w:r>
        <w:rPr>
          <w:rFonts w:hint="eastAsia"/>
          <w:color w:val="auto"/>
          <w:lang w:val="en-US" w:eastAsia="zh-CN"/>
        </w:rPr>
        <w:t>征求意见</w:t>
      </w:r>
      <w:r>
        <w:rPr>
          <w:color w:val="auto"/>
        </w:rPr>
        <w:t>公示</w:t>
      </w:r>
      <w:r>
        <w:rPr>
          <w:rFonts w:hint="eastAsia"/>
          <w:color w:val="auto"/>
          <w:lang w:val="en-US" w:eastAsia="zh-CN"/>
        </w:rPr>
        <w:t>，</w:t>
      </w:r>
      <w:r>
        <w:rPr>
          <w:color w:val="auto"/>
        </w:rPr>
        <w:t>公示期间，本单位和评价单位均未收到任何形式的公众反馈意见。</w:t>
      </w:r>
    </w:p>
    <w:p w14:paraId="59472462">
      <w:pPr>
        <w:pStyle w:val="37"/>
        <w:bidi w:val="0"/>
        <w:rPr>
          <w:color w:val="auto"/>
        </w:rPr>
      </w:pPr>
      <w:r>
        <w:rPr>
          <w:color w:val="auto"/>
        </w:rPr>
        <w:t>本单位将公众参与调查报告独立编制成册，提交</w:t>
      </w:r>
      <w:r>
        <w:rPr>
          <w:rFonts w:hint="eastAsia"/>
          <w:color w:val="auto"/>
          <w:lang w:val="en-US" w:eastAsia="zh-CN"/>
        </w:rPr>
        <w:t>福州</w:t>
      </w:r>
      <w:r>
        <w:rPr>
          <w:rFonts w:hint="eastAsia"/>
          <w:color w:val="auto"/>
        </w:rPr>
        <w:t>市生态环境</w:t>
      </w:r>
      <w:r>
        <w:rPr>
          <w:color w:val="auto"/>
        </w:rPr>
        <w:t>部门备案，相关</w:t>
      </w:r>
      <w:r>
        <w:rPr>
          <w:rFonts w:hint="eastAsia"/>
          <w:color w:val="auto"/>
        </w:rPr>
        <w:t>公众</w:t>
      </w:r>
      <w:r>
        <w:rPr>
          <w:color w:val="auto"/>
        </w:rPr>
        <w:t>意见表</w:t>
      </w:r>
      <w:r>
        <w:rPr>
          <w:rFonts w:hint="eastAsia"/>
          <w:color w:val="auto"/>
        </w:rPr>
        <w:t>、</w:t>
      </w:r>
      <w:r>
        <w:rPr>
          <w:color w:val="auto"/>
        </w:rPr>
        <w:t>公示</w:t>
      </w:r>
      <w:r>
        <w:rPr>
          <w:rFonts w:hint="eastAsia"/>
          <w:color w:val="auto"/>
        </w:rPr>
        <w:t>网络</w:t>
      </w:r>
      <w:r>
        <w:rPr>
          <w:color w:val="auto"/>
        </w:rPr>
        <w:t>截图、</w:t>
      </w:r>
      <w:r>
        <w:rPr>
          <w:rFonts w:hint="eastAsia"/>
          <w:color w:val="auto"/>
        </w:rPr>
        <w:t>报纸</w:t>
      </w:r>
      <w:r>
        <w:rPr>
          <w:color w:val="auto"/>
        </w:rPr>
        <w:t>原件、现场照片</w:t>
      </w:r>
      <w:r>
        <w:rPr>
          <w:rFonts w:hint="eastAsia"/>
          <w:color w:val="auto"/>
        </w:rPr>
        <w:t>等</w:t>
      </w:r>
      <w:r>
        <w:rPr>
          <w:color w:val="auto"/>
        </w:rPr>
        <w:t>存入档案备查。</w:t>
      </w:r>
    </w:p>
    <w:p w14:paraId="68029D26">
      <w:pPr>
        <w:pStyle w:val="42"/>
        <w:bidi w:val="0"/>
        <w:rPr>
          <w:color w:val="auto"/>
        </w:rPr>
      </w:pPr>
      <w:bookmarkStart w:id="42" w:name="_Toc2338"/>
      <w:bookmarkStart w:id="43" w:name="_Toc532284870"/>
      <w:r>
        <w:rPr>
          <w:color w:val="auto"/>
        </w:rPr>
        <w:t>诚信承诺</w:t>
      </w:r>
      <w:bookmarkEnd w:id="42"/>
      <w:bookmarkEnd w:id="43"/>
    </w:p>
    <w:p w14:paraId="45AE4C59">
      <w:pPr>
        <w:pStyle w:val="37"/>
        <w:bidi w:val="0"/>
        <w:rPr>
          <w:color w:val="auto"/>
        </w:rPr>
      </w:pPr>
      <w:r>
        <w:rPr>
          <w:color w:val="auto"/>
        </w:rPr>
        <w:t>我</w:t>
      </w:r>
      <w:r>
        <w:rPr>
          <w:rFonts w:hint="eastAsia"/>
          <w:color w:val="auto"/>
        </w:rPr>
        <w:t>公司</w:t>
      </w:r>
      <w:r>
        <w:rPr>
          <w:color w:val="auto"/>
        </w:rPr>
        <w:t>已按照《环境影响评价公众参与办法》要求，在</w:t>
      </w:r>
      <w:r>
        <w:rPr>
          <w:rFonts w:hint="eastAsia"/>
          <w:color w:val="auto"/>
          <w:lang w:val="en-US" w:eastAsia="zh-CN"/>
        </w:rPr>
        <w:t>福州台商投资区外联通道（迹头至台商区段）项目一期（选屿至台商区段）</w:t>
      </w:r>
      <w:r>
        <w:rPr>
          <w:color w:val="auto"/>
        </w:rPr>
        <w:t>环境影响报告书编制阶段开展了公众参与工作，并按照要求编制了公众参与说明。</w:t>
      </w:r>
    </w:p>
    <w:p w14:paraId="6C53CA28">
      <w:pPr>
        <w:pStyle w:val="37"/>
        <w:bidi w:val="0"/>
        <w:rPr>
          <w:color w:val="auto"/>
        </w:rPr>
      </w:pPr>
      <w:r>
        <w:rPr>
          <w:color w:val="auto"/>
        </w:rPr>
        <w:t>我</w:t>
      </w:r>
      <w:r>
        <w:rPr>
          <w:rFonts w:hint="eastAsia"/>
          <w:color w:val="auto"/>
        </w:rPr>
        <w:t>公司</w:t>
      </w:r>
      <w:r>
        <w:rPr>
          <w:color w:val="auto"/>
        </w:rPr>
        <w:t>承诺，本次提交的《</w:t>
      </w:r>
      <w:r>
        <w:rPr>
          <w:rFonts w:hint="eastAsia"/>
          <w:color w:val="auto"/>
          <w:lang w:val="en-US" w:eastAsia="zh-CN"/>
        </w:rPr>
        <w:t>福州台商投资区外联通道（迹头至台商区段）项目一期（选屿至台商区段）</w:t>
      </w:r>
      <w:r>
        <w:rPr>
          <w:rFonts w:hint="eastAsia"/>
          <w:color w:val="auto"/>
        </w:rPr>
        <w:t>环境影响评价</w:t>
      </w:r>
      <w:r>
        <w:rPr>
          <w:color w:val="auto"/>
        </w:rPr>
        <w:t>公众参与说明》内容客观、真</w:t>
      </w:r>
      <w:r>
        <w:rPr>
          <w:rFonts w:hint="eastAsia"/>
          <w:color w:val="auto"/>
        </w:rPr>
        <w:t>实</w:t>
      </w:r>
      <w:r>
        <w:rPr>
          <w:color w:val="auto"/>
        </w:rPr>
        <w:t>，未包含依法不得公开的国家秘密、商业秘密、个人隐私。如存在弄虚作假、隐瞒欺骗等情况及由此导致的一切后果由</w:t>
      </w:r>
      <w:r>
        <w:rPr>
          <w:rFonts w:hint="eastAsia"/>
          <w:color w:val="auto"/>
          <w:lang w:val="en-US" w:eastAsia="zh-CN"/>
        </w:rPr>
        <w:t>罗源县交通国有资产投资经营有限公司</w:t>
      </w:r>
      <w:r>
        <w:rPr>
          <w:color w:val="auto"/>
        </w:rPr>
        <w:t>承担全部责任。</w:t>
      </w:r>
    </w:p>
    <w:p w14:paraId="7FE072F5">
      <w:pPr>
        <w:pStyle w:val="37"/>
        <w:bidi w:val="0"/>
        <w:rPr>
          <w:color w:val="auto"/>
        </w:rPr>
      </w:pPr>
    </w:p>
    <w:p w14:paraId="1A6C9FE7">
      <w:pPr>
        <w:pStyle w:val="37"/>
        <w:bidi w:val="0"/>
        <w:rPr>
          <w:color w:val="auto"/>
        </w:rPr>
      </w:pPr>
    </w:p>
    <w:p w14:paraId="4997B969">
      <w:pPr>
        <w:pStyle w:val="37"/>
        <w:bidi w:val="0"/>
        <w:jc w:val="right"/>
        <w:rPr>
          <w:rFonts w:hint="eastAsia"/>
          <w:color w:val="auto"/>
          <w:lang w:eastAsia="zh-CN"/>
        </w:rPr>
      </w:pPr>
      <w:r>
        <w:rPr>
          <w:rFonts w:hint="eastAsia"/>
          <w:color w:val="auto"/>
        </w:rPr>
        <w:t>承诺</w:t>
      </w:r>
      <w:r>
        <w:rPr>
          <w:color w:val="auto"/>
        </w:rPr>
        <w:t>单位：</w:t>
      </w:r>
      <w:r>
        <w:rPr>
          <w:rFonts w:hint="eastAsia"/>
          <w:color w:val="auto"/>
          <w:lang w:val="en-US" w:eastAsia="zh-CN"/>
        </w:rPr>
        <w:t>罗源县交通国有资产投资经营有限公司</w:t>
      </w:r>
    </w:p>
    <w:p w14:paraId="543502FF">
      <w:pPr>
        <w:pStyle w:val="37"/>
        <w:bidi w:val="0"/>
        <w:jc w:val="right"/>
        <w:rPr>
          <w:color w:val="auto"/>
          <w:highlight w:val="none"/>
        </w:rPr>
      </w:pPr>
      <w:r>
        <w:rPr>
          <w:rFonts w:hint="eastAsia"/>
          <w:color w:val="auto"/>
          <w:highlight w:val="none"/>
        </w:rPr>
        <w:t>承诺</w:t>
      </w:r>
      <w:r>
        <w:rPr>
          <w:color w:val="auto"/>
          <w:highlight w:val="none"/>
        </w:rPr>
        <w:t>时间：</w:t>
      </w:r>
      <w:r>
        <w:rPr>
          <w:rFonts w:hint="eastAsia"/>
          <w:color w:val="auto"/>
          <w:highlight w:val="none"/>
          <w:lang w:val="en-US" w:eastAsia="zh-CN"/>
        </w:rPr>
        <w:t>2026</w:t>
      </w:r>
      <w:r>
        <w:rPr>
          <w:rFonts w:hint="eastAsia"/>
          <w:color w:val="auto"/>
          <w:highlight w:val="none"/>
        </w:rPr>
        <w:t>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22</w:t>
      </w:r>
      <w:r>
        <w:rPr>
          <w:color w:val="auto"/>
          <w:highlight w:val="none"/>
        </w:rPr>
        <w:t>日</w:t>
      </w:r>
      <w:bookmarkEnd w:id="15"/>
      <w:bookmarkEnd w:id="16"/>
      <w:bookmarkEnd w:id="17"/>
      <w:bookmarkEnd w:id="18"/>
      <w:bookmarkEnd w:id="19"/>
      <w:bookmarkEnd w:id="20"/>
      <w:bookmarkEnd w:id="21"/>
      <w:bookmarkEnd w:id="22"/>
    </w:p>
    <w:bookmarkEnd w:id="44"/>
    <w:sectPr>
      <w:footerReference r:id="rId7" w:type="default"/>
      <w:pgSz w:w="11906" w:h="16838"/>
      <w:pgMar w:top="1418" w:right="1304" w:bottom="1304" w:left="1304" w:header="851" w:footer="851"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F1AD2">
    <w:pPr>
      <w:pStyle w:val="19"/>
      <w:jc w:val="center"/>
    </w:pPr>
  </w:p>
  <w:p w14:paraId="385C65A0">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0703A">
    <w:pPr>
      <w:pStyle w:val="19"/>
      <w:framePr w:wrap="around" w:vAnchor="text" w:hAnchor="margin" w:xAlign="center" w:y="1"/>
      <w:rPr>
        <w:rStyle w:val="30"/>
      </w:rPr>
    </w:pPr>
    <w:r>
      <w:rPr>
        <w:rStyle w:val="30"/>
      </w:rPr>
      <w:fldChar w:fldCharType="begin"/>
    </w:r>
    <w:r>
      <w:rPr>
        <w:rStyle w:val="30"/>
      </w:rPr>
      <w:instrText xml:space="preserve">PAGE  </w:instrText>
    </w:r>
    <w:r>
      <w:rPr>
        <w:rStyle w:val="30"/>
      </w:rPr>
      <w:fldChar w:fldCharType="separate"/>
    </w:r>
    <w:r>
      <w:rPr>
        <w:rStyle w:val="30"/>
      </w:rPr>
      <w:t>22</w:t>
    </w:r>
    <w:r>
      <w:rPr>
        <w:rStyle w:val="30"/>
      </w:rPr>
      <w:fldChar w:fldCharType="end"/>
    </w:r>
  </w:p>
  <w:p w14:paraId="7BFF0CC1">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11929">
    <w:pPr>
      <w:pStyle w:val="19"/>
      <w:jc w:val="center"/>
    </w:pPr>
  </w:p>
  <w:p w14:paraId="7BBD967C">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116759"/>
    </w:sdtPr>
    <w:sdtContent>
      <w:p w14:paraId="101A3CD2">
        <w:pPr>
          <w:pStyle w:val="19"/>
          <w:jc w:val="center"/>
        </w:pPr>
        <w:r>
          <w:rPr>
            <w:lang w:val="zh-CN"/>
          </w:rPr>
          <w:fldChar w:fldCharType="begin"/>
        </w:r>
        <w:r>
          <w:rPr>
            <w:lang w:val="zh-CN"/>
          </w:rPr>
          <w:instrText xml:space="preserve">PAGE   \* MERGEFORMAT</w:instrText>
        </w:r>
        <w:r>
          <w:rPr>
            <w:lang w:val="zh-CN"/>
          </w:rPr>
          <w:fldChar w:fldCharType="separate"/>
        </w:r>
        <w:r>
          <w:rPr>
            <w:lang w:val="zh-CN"/>
          </w:rPr>
          <w:t>14</w:t>
        </w:r>
        <w:r>
          <w:rPr>
            <w:lang w:val="zh-CN"/>
          </w:rPr>
          <w:fldChar w:fldCharType="end"/>
        </w:r>
      </w:p>
    </w:sdtContent>
  </w:sdt>
  <w:p w14:paraId="1ABCACBD">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FE135">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67836">
                          <w:pPr>
                            <w:pStyle w:val="1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D867836">
                    <w:pPr>
                      <w:pStyle w:val="19"/>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CA3C50"/>
    <w:multiLevelType w:val="multilevel"/>
    <w:tmpl w:val="E5CA3C50"/>
    <w:lvl w:ilvl="0" w:tentative="0">
      <w:start w:val="1"/>
      <w:numFmt w:val="decimal"/>
      <w:pStyle w:val="34"/>
      <w:suff w:val="space"/>
      <w:lvlText w:val="第 %1 章"/>
      <w:lvlJc w:val="left"/>
      <w:pPr>
        <w:tabs>
          <w:tab w:val="left" w:pos="0"/>
        </w:tabs>
        <w:ind w:left="0" w:leftChars="0" w:firstLine="0" w:firstLineChars="0"/>
      </w:pPr>
      <w:rPr>
        <w:rFonts w:hint="default" w:ascii="Times New Roman" w:hAnsi="Times New Roman" w:eastAsia="宋体" w:cs="宋体"/>
        <w:sz w:val="36"/>
      </w:rPr>
    </w:lvl>
    <w:lvl w:ilvl="1" w:tentative="0">
      <w:start w:val="1"/>
      <w:numFmt w:val="decimal"/>
      <w:isLgl/>
      <w:suff w:val="space"/>
      <w:lvlText w:val="%1.%2"/>
      <w:lvlJc w:val="left"/>
      <w:pPr>
        <w:tabs>
          <w:tab w:val="left" w:pos="0"/>
        </w:tabs>
        <w:ind w:left="0" w:leftChars="0" w:firstLine="0" w:firstLineChars="0"/>
      </w:pPr>
      <w:rPr>
        <w:rFonts w:hint="default" w:ascii="Times New Roman" w:hAnsi="Times New Roman" w:eastAsia="宋体" w:cs="宋体"/>
        <w:b/>
        <w:bCs w:val="0"/>
        <w:i w:val="0"/>
        <w:iCs w:val="0"/>
        <w:caps w:val="0"/>
        <w:smallCaps w:val="0"/>
        <w:strike w:val="0"/>
        <w:dstrike w:val="0"/>
        <w:outline w:val="0"/>
        <w:shadow w:val="0"/>
        <w:emboss w:val="0"/>
        <w:imprint w:val="0"/>
        <w:vanish w:val="0"/>
        <w:color w:val="auto"/>
        <w:spacing w:val="0"/>
        <w:kern w:val="0"/>
        <w:position w:val="0"/>
        <w:sz w:val="30"/>
        <w:u w:val="none"/>
        <w:vertAlign w:val="baseline"/>
      </w:rPr>
    </w:lvl>
    <w:lvl w:ilvl="2" w:tentative="0">
      <w:start w:val="1"/>
      <w:numFmt w:val="decimal"/>
      <w:isLgl/>
      <w:suff w:val="space"/>
      <w:lvlText w:val="%1.%2.%3"/>
      <w:lvlJc w:val="left"/>
      <w:pPr>
        <w:tabs>
          <w:tab w:val="left" w:pos="0"/>
        </w:tabs>
        <w:ind w:left="2730" w:leftChars="0" w:firstLine="0" w:firstLineChars="0"/>
      </w:pPr>
      <w:rPr>
        <w:rFonts w:hint="default" w:ascii="Times New Roman" w:hAnsi="Times New Roman" w:eastAsia="宋体" w:cs="宋体"/>
        <w:b/>
        <w:bCs w:val="0"/>
        <w:i w:val="0"/>
        <w:iCs w:val="0"/>
        <w:caps w:val="0"/>
        <w:smallCaps w:val="0"/>
        <w:strike w:val="0"/>
        <w:dstrike w:val="0"/>
        <w:outline w:val="0"/>
        <w:shadow w:val="0"/>
        <w:emboss w:val="0"/>
        <w:imprint w:val="0"/>
        <w:vanish w:val="0"/>
        <w:color w:val="auto"/>
        <w:spacing w:val="0"/>
        <w:kern w:val="0"/>
        <w:position w:val="0"/>
        <w:sz w:val="28"/>
        <w:u w:val="none"/>
        <w:vertAlign w:val="baseline"/>
      </w:rPr>
    </w:lvl>
    <w:lvl w:ilvl="3" w:tentative="0">
      <w:start w:val="1"/>
      <w:numFmt w:val="decimal"/>
      <w:isLgl/>
      <w:suff w:val="space"/>
      <w:lvlText w:val="%1.%2.%3.%4"/>
      <w:lvlJc w:val="left"/>
      <w:pPr>
        <w:ind w:left="0" w:leftChars="0" w:firstLine="0" w:firstLineChars="0"/>
      </w:pPr>
      <w:rPr>
        <w:rFonts w:hint="default" w:ascii="Times New Roman" w:hAnsi="Times New Roman" w:eastAsia="宋体" w:cs="宋体"/>
        <w:color w:val="auto"/>
        <w:sz w:val="24"/>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FFFFFFFB"/>
    <w:multiLevelType w:val="multilevel"/>
    <w:tmpl w:val="FFFFFFFB"/>
    <w:lvl w:ilvl="0" w:tentative="0">
      <w:start w:val="1"/>
      <w:numFmt w:val="decimal"/>
      <w:lvlText w:val="%1"/>
      <w:lvlJc w:val="left"/>
      <w:pPr>
        <w:tabs>
          <w:tab w:val="left" w:pos="360"/>
        </w:tabs>
        <w:ind w:left="0" w:firstLine="0"/>
      </w:pPr>
      <w:rPr>
        <w:rFonts w:hint="eastAsia"/>
      </w:rPr>
    </w:lvl>
    <w:lvl w:ilvl="1" w:tentative="0">
      <w:start w:val="1"/>
      <w:numFmt w:val="decimal"/>
      <w:lvlText w:val="%1.%2"/>
      <w:lvlJc w:val="left"/>
      <w:pPr>
        <w:tabs>
          <w:tab w:val="left" w:pos="720"/>
        </w:tabs>
        <w:ind w:left="0" w:firstLine="0"/>
      </w:pPr>
      <w:rPr>
        <w:rFonts w:hint="eastAsia"/>
      </w:rPr>
    </w:lvl>
    <w:lvl w:ilvl="2" w:tentative="0">
      <w:start w:val="1"/>
      <w:numFmt w:val="decimal"/>
      <w:lvlText w:val="%1.%2.%3"/>
      <w:lvlJc w:val="left"/>
      <w:pPr>
        <w:tabs>
          <w:tab w:val="left" w:pos="360"/>
        </w:tabs>
        <w:ind w:left="360" w:firstLine="0"/>
      </w:pPr>
      <w:rPr>
        <w:rFonts w:hint="eastAsia"/>
      </w:rPr>
    </w:lvl>
    <w:lvl w:ilvl="3" w:tentative="0">
      <w:start w:val="1"/>
      <w:numFmt w:val="decimal"/>
      <w:pStyle w:val="5"/>
      <w:lvlText w:val="%1.%2.%3.%4"/>
      <w:lvlJc w:val="left"/>
      <w:pPr>
        <w:tabs>
          <w:tab w:val="left" w:pos="0"/>
        </w:tabs>
        <w:ind w:left="0" w:firstLine="0"/>
      </w:pPr>
      <w:rPr>
        <w:rFonts w:hint="eastAsia"/>
      </w:rPr>
    </w:lvl>
    <w:lvl w:ilvl="4" w:tentative="0">
      <w:start w:val="1"/>
      <w:numFmt w:val="decimal"/>
      <w:pStyle w:val="6"/>
      <w:lvlText w:val="(%5)"/>
      <w:lvlJc w:val="left"/>
      <w:pPr>
        <w:tabs>
          <w:tab w:val="left" w:pos="720"/>
        </w:tabs>
        <w:ind w:left="0" w:firstLine="0"/>
      </w:pPr>
      <w:rPr>
        <w:rFonts w:hint="eastAsia"/>
      </w:rPr>
    </w:lvl>
    <w:lvl w:ilvl="5" w:tentative="0">
      <w:start w:val="1"/>
      <w:numFmt w:val="decimal"/>
      <w:pStyle w:val="7"/>
      <w:lvlText w:val=" %6)"/>
      <w:lvlJc w:val="left"/>
      <w:pPr>
        <w:tabs>
          <w:tab w:val="left" w:pos="360"/>
        </w:tabs>
        <w:ind w:left="0" w:firstLine="0"/>
      </w:pPr>
      <w:rPr>
        <w:rFonts w:hint="eastAsia"/>
      </w:rPr>
    </w:lvl>
    <w:lvl w:ilvl="6" w:tentative="0">
      <w:start w:val="1"/>
      <w:numFmt w:val="lowerLetter"/>
      <w:pStyle w:val="8"/>
      <w:lvlText w:val="  %7."/>
      <w:lvlJc w:val="left"/>
      <w:pPr>
        <w:tabs>
          <w:tab w:val="left" w:pos="360"/>
        </w:tabs>
        <w:ind w:left="0" w:firstLine="0"/>
      </w:pPr>
      <w:rPr>
        <w:rFonts w:hint="eastAsia"/>
        <w:b/>
        <w:i w:val="0"/>
        <w:color w:val="auto"/>
        <w:sz w:val="21"/>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2">
    <w:nsid w:val="006AFDE9"/>
    <w:multiLevelType w:val="multilevel"/>
    <w:tmpl w:val="006AFDE9"/>
    <w:lvl w:ilvl="0" w:tentative="0">
      <w:start w:val="1"/>
      <w:numFmt w:val="chineseCounting"/>
      <w:pStyle w:val="41"/>
      <w:suff w:val="nothing"/>
      <w:lvlText w:val="%1、"/>
      <w:lvlJc w:val="left"/>
      <w:pPr>
        <w:tabs>
          <w:tab w:val="left" w:pos="420"/>
        </w:tabs>
        <w:ind w:left="432" w:hanging="432"/>
      </w:pPr>
      <w:rPr>
        <w:rFonts w:hint="eastAsia" w:ascii="Times New Roman" w:hAnsi="Times New Roman" w:eastAsia="宋体" w:cs="宋体"/>
        <w:bCs/>
        <w:sz w:val="30"/>
      </w:rPr>
    </w:lvl>
    <w:lvl w:ilvl="1" w:tentative="0">
      <w:start w:val="1"/>
      <w:numFmt w:val="decimal"/>
      <w:isLgl/>
      <w:suff w:val="space"/>
      <w:lvlText w:val="%1.%2"/>
      <w:lvlJc w:val="left"/>
      <w:pPr>
        <w:tabs>
          <w:tab w:val="left" w:pos="0"/>
        </w:tabs>
        <w:ind w:left="0" w:firstLine="0"/>
      </w:pPr>
      <w:rPr>
        <w:rFonts w:hint="eastAsia" w:ascii="Times New Roman" w:hAnsi="Times New Roman" w:eastAsia="宋体" w:cs="宋体"/>
        <w:b/>
        <w:color w:val="auto"/>
        <w:sz w:val="28"/>
      </w:rPr>
    </w:lvl>
    <w:lvl w:ilvl="2" w:tentative="0">
      <w:start w:val="1"/>
      <w:numFmt w:val="decimal"/>
      <w:isLgl/>
      <w:suff w:val="space"/>
      <w:lvlText w:val="%1.%2.%3"/>
      <w:lvlJc w:val="left"/>
      <w:pPr>
        <w:tabs>
          <w:tab w:val="left" w:pos="420"/>
        </w:tabs>
        <w:ind w:left="0" w:firstLine="0"/>
      </w:pPr>
      <w:rPr>
        <w:rFonts w:hint="eastAsia" w:ascii="Times New Roman" w:hAnsi="Times New Roman" w:eastAsia="宋体" w:cs="宋体"/>
        <w:b/>
        <w:bCs/>
        <w:sz w:val="24"/>
      </w:rPr>
    </w:lvl>
    <w:lvl w:ilvl="3" w:tentative="0">
      <w:start w:val="1"/>
      <w:numFmt w:val="decimal"/>
      <w:isLgl/>
      <w:suff w:val="space"/>
      <w:lvlText w:val="%1.%2.%3.%4"/>
      <w:lvlJc w:val="left"/>
      <w:pPr>
        <w:tabs>
          <w:tab w:val="left" w:pos="0"/>
        </w:tabs>
        <w:ind w:left="0" w:firstLine="0"/>
      </w:pPr>
      <w:rPr>
        <w:rFonts w:hint="eastAsia" w:ascii="Times New Roman" w:hAnsi="Times New Roman" w:eastAsia="宋体" w:cs="宋体"/>
        <w:sz w:val="24"/>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3">
    <w:nsid w:val="24A23909"/>
    <w:multiLevelType w:val="multilevel"/>
    <w:tmpl w:val="24A23909"/>
    <w:lvl w:ilvl="0" w:tentative="0">
      <w:start w:val="1"/>
      <w:numFmt w:val="chineseCounting"/>
      <w:pStyle w:val="40"/>
      <w:suff w:val="nothing"/>
      <w:lvlText w:val="%1、"/>
      <w:lvlJc w:val="left"/>
      <w:pPr>
        <w:tabs>
          <w:tab w:val="left" w:pos="420"/>
        </w:tabs>
        <w:ind w:left="432" w:hanging="432"/>
      </w:pPr>
      <w:rPr>
        <w:rFonts w:hint="eastAsia" w:ascii="Times New Roman" w:hAnsi="Times New Roman" w:eastAsia="宋体" w:cs="宋体"/>
        <w:bCs/>
        <w:sz w:val="30"/>
      </w:rPr>
    </w:lvl>
    <w:lvl w:ilvl="1" w:tentative="0">
      <w:start w:val="1"/>
      <w:numFmt w:val="decimal"/>
      <w:isLgl/>
      <w:suff w:val="space"/>
      <w:lvlText w:val="%1.%2"/>
      <w:lvlJc w:val="left"/>
      <w:pPr>
        <w:tabs>
          <w:tab w:val="left" w:pos="0"/>
        </w:tabs>
        <w:ind w:left="0" w:firstLine="0"/>
      </w:pPr>
      <w:rPr>
        <w:rFonts w:hint="eastAsia" w:ascii="Times New Roman" w:hAnsi="Times New Roman" w:eastAsia="宋体" w:cs="宋体"/>
        <w:b/>
        <w:color w:val="auto"/>
        <w:sz w:val="28"/>
      </w:rPr>
    </w:lvl>
    <w:lvl w:ilvl="2" w:tentative="0">
      <w:start w:val="1"/>
      <w:numFmt w:val="decimal"/>
      <w:isLgl/>
      <w:suff w:val="space"/>
      <w:lvlText w:val="%1.%2.%3"/>
      <w:lvlJc w:val="left"/>
      <w:pPr>
        <w:tabs>
          <w:tab w:val="left" w:pos="420"/>
        </w:tabs>
        <w:ind w:left="0" w:firstLine="0"/>
      </w:pPr>
      <w:rPr>
        <w:rFonts w:hint="eastAsia" w:ascii="Times New Roman" w:hAnsi="Times New Roman" w:eastAsia="宋体" w:cs="宋体"/>
        <w:b/>
        <w:bCs/>
        <w:sz w:val="24"/>
      </w:rPr>
    </w:lvl>
    <w:lvl w:ilvl="3" w:tentative="0">
      <w:start w:val="1"/>
      <w:numFmt w:val="decimal"/>
      <w:isLgl/>
      <w:suff w:val="space"/>
      <w:lvlText w:val="%1.%2.%3.%4"/>
      <w:lvlJc w:val="left"/>
      <w:pPr>
        <w:tabs>
          <w:tab w:val="left" w:pos="0"/>
        </w:tabs>
        <w:ind w:left="0" w:firstLine="0"/>
      </w:pPr>
      <w:rPr>
        <w:rFonts w:hint="eastAsia" w:ascii="Times New Roman" w:hAnsi="Times New Roman" w:eastAsia="宋体" w:cs="宋体"/>
        <w:sz w:val="24"/>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4">
    <w:nsid w:val="2EDAAAF4"/>
    <w:multiLevelType w:val="multilevel"/>
    <w:tmpl w:val="2EDAAAF4"/>
    <w:lvl w:ilvl="0" w:tentative="0">
      <w:start w:val="1"/>
      <w:numFmt w:val="decimal"/>
      <w:pStyle w:val="42"/>
      <w:isLgl/>
      <w:suff w:val="space"/>
      <w:lvlText w:val="%1"/>
      <w:lvlJc w:val="left"/>
      <w:pPr>
        <w:tabs>
          <w:tab w:val="left" w:pos="0"/>
        </w:tabs>
        <w:ind w:left="0" w:leftChars="0" w:firstLine="0" w:firstLineChars="0"/>
      </w:pPr>
      <w:rPr>
        <w:rFonts w:hint="default" w:ascii="Times New Roman" w:hAnsi="Times New Roman" w:eastAsia="宋体" w:cs="Times New Roman"/>
        <w:color w:val="auto"/>
        <w:sz w:val="36"/>
      </w:rPr>
    </w:lvl>
    <w:lvl w:ilvl="1" w:tentative="0">
      <w:start w:val="1"/>
      <w:numFmt w:val="decimal"/>
      <w:pStyle w:val="35"/>
      <w:isLgl/>
      <w:suff w:val="space"/>
      <w:lvlText w:val="%1.%2"/>
      <w:lvlJc w:val="left"/>
      <w:pPr>
        <w:tabs>
          <w:tab w:val="left" w:pos="0"/>
        </w:tabs>
        <w:ind w:left="0" w:leftChars="0" w:firstLine="0" w:firstLineChars="0"/>
      </w:pPr>
      <w:rPr>
        <w:rFonts w:hint="default" w:ascii="Times New Roman" w:hAnsi="Times New Roman" w:eastAsia="宋体" w:cs="Times New Roman"/>
        <w:b/>
        <w:bCs w:val="0"/>
        <w:i w:val="0"/>
        <w:iCs w:val="0"/>
        <w:caps w:val="0"/>
        <w:smallCaps w:val="0"/>
        <w:strike w:val="0"/>
        <w:dstrike w:val="0"/>
        <w:outline w:val="0"/>
        <w:shadow w:val="0"/>
        <w:emboss w:val="0"/>
        <w:imprint w:val="0"/>
        <w:vanish w:val="0"/>
        <w:color w:val="auto"/>
        <w:spacing w:val="0"/>
        <w:kern w:val="0"/>
        <w:position w:val="0"/>
        <w:sz w:val="30"/>
        <w:u w:val="none"/>
        <w:vertAlign w:val="baseline"/>
      </w:rPr>
    </w:lvl>
    <w:lvl w:ilvl="2" w:tentative="0">
      <w:start w:val="1"/>
      <w:numFmt w:val="decimal"/>
      <w:pStyle w:val="36"/>
      <w:isLgl/>
      <w:suff w:val="space"/>
      <w:lvlText w:val="%1.%2.%3"/>
      <w:lvlJc w:val="left"/>
      <w:pPr>
        <w:tabs>
          <w:tab w:val="left" w:pos="0"/>
        </w:tabs>
        <w:ind w:left="0" w:leftChars="0" w:firstLine="0" w:firstLineChars="0"/>
      </w:pPr>
      <w:rPr>
        <w:rFonts w:hint="default" w:ascii="Times New Roman" w:hAnsi="Times New Roman" w:eastAsia="宋体" w:cs="Times New Roman"/>
        <w:b/>
        <w:bCs w:val="0"/>
        <w:i w:val="0"/>
        <w:iCs w:val="0"/>
        <w:caps w:val="0"/>
        <w:smallCaps w:val="0"/>
        <w:strike w:val="0"/>
        <w:dstrike w:val="0"/>
        <w:outline w:val="0"/>
        <w:shadow w:val="0"/>
        <w:emboss w:val="0"/>
        <w:imprint w:val="0"/>
        <w:vanish w:val="0"/>
        <w:color w:val="auto"/>
        <w:spacing w:val="0"/>
        <w:kern w:val="0"/>
        <w:position w:val="0"/>
        <w:sz w:val="28"/>
        <w:u w:val="none"/>
        <w:vertAlign w:val="baseline"/>
      </w:rPr>
    </w:lvl>
    <w:lvl w:ilvl="3" w:tentative="0">
      <w:start w:val="1"/>
      <w:numFmt w:val="decimal"/>
      <w:isLgl/>
      <w:suff w:val="space"/>
      <w:lvlText w:val="%1.%2.%3.%4"/>
      <w:lvlJc w:val="left"/>
      <w:pPr>
        <w:ind w:left="0" w:leftChars="0" w:firstLine="0" w:firstLineChars="0"/>
      </w:pPr>
      <w:rPr>
        <w:rFonts w:hint="default" w:ascii="宋体" w:hAnsi="宋体" w:eastAsia="宋体" w:cs="宋体"/>
        <w:color w:val="auto"/>
        <w:sz w:val="24"/>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1NjVhZDMwYzk2ZjViNDIzZDMzZTA2ZTkwN2EwMmEifQ=="/>
  </w:docVars>
  <w:rsids>
    <w:rsidRoot w:val="00B8137C"/>
    <w:rsid w:val="000001B0"/>
    <w:rsid w:val="000006DD"/>
    <w:rsid w:val="000044D9"/>
    <w:rsid w:val="00005F34"/>
    <w:rsid w:val="00006334"/>
    <w:rsid w:val="00006385"/>
    <w:rsid w:val="00007470"/>
    <w:rsid w:val="00007A52"/>
    <w:rsid w:val="00007EB0"/>
    <w:rsid w:val="0001092A"/>
    <w:rsid w:val="0001117F"/>
    <w:rsid w:val="00011645"/>
    <w:rsid w:val="00011826"/>
    <w:rsid w:val="000144E8"/>
    <w:rsid w:val="000147C5"/>
    <w:rsid w:val="00016393"/>
    <w:rsid w:val="00017F67"/>
    <w:rsid w:val="000240CF"/>
    <w:rsid w:val="000256CE"/>
    <w:rsid w:val="000260B6"/>
    <w:rsid w:val="00026B05"/>
    <w:rsid w:val="00031F64"/>
    <w:rsid w:val="0004111A"/>
    <w:rsid w:val="00041AC5"/>
    <w:rsid w:val="00041E4F"/>
    <w:rsid w:val="00043C65"/>
    <w:rsid w:val="00043D37"/>
    <w:rsid w:val="00044EB9"/>
    <w:rsid w:val="00050E1A"/>
    <w:rsid w:val="00052130"/>
    <w:rsid w:val="000521CA"/>
    <w:rsid w:val="000532B2"/>
    <w:rsid w:val="00056393"/>
    <w:rsid w:val="00057E41"/>
    <w:rsid w:val="00060007"/>
    <w:rsid w:val="000627E0"/>
    <w:rsid w:val="00063ADA"/>
    <w:rsid w:val="0006432A"/>
    <w:rsid w:val="00064A6E"/>
    <w:rsid w:val="00066038"/>
    <w:rsid w:val="000713C9"/>
    <w:rsid w:val="000732BE"/>
    <w:rsid w:val="0007496E"/>
    <w:rsid w:val="00074E5C"/>
    <w:rsid w:val="00075795"/>
    <w:rsid w:val="000830C3"/>
    <w:rsid w:val="00083D39"/>
    <w:rsid w:val="00085B3B"/>
    <w:rsid w:val="00087AFA"/>
    <w:rsid w:val="000917B1"/>
    <w:rsid w:val="000949D2"/>
    <w:rsid w:val="00095862"/>
    <w:rsid w:val="000A07A8"/>
    <w:rsid w:val="000A3187"/>
    <w:rsid w:val="000A5DDF"/>
    <w:rsid w:val="000B0518"/>
    <w:rsid w:val="000B0C50"/>
    <w:rsid w:val="000B2BD3"/>
    <w:rsid w:val="000B6A5F"/>
    <w:rsid w:val="000C063F"/>
    <w:rsid w:val="000C374E"/>
    <w:rsid w:val="000C3FDF"/>
    <w:rsid w:val="000C5EE8"/>
    <w:rsid w:val="000D32FC"/>
    <w:rsid w:val="000E046C"/>
    <w:rsid w:val="000E41D3"/>
    <w:rsid w:val="000E4D82"/>
    <w:rsid w:val="000E788B"/>
    <w:rsid w:val="000F14A3"/>
    <w:rsid w:val="000F3CC5"/>
    <w:rsid w:val="000F54DA"/>
    <w:rsid w:val="000F5F87"/>
    <w:rsid w:val="0010160A"/>
    <w:rsid w:val="00103D6A"/>
    <w:rsid w:val="00104670"/>
    <w:rsid w:val="00104AAF"/>
    <w:rsid w:val="00104E46"/>
    <w:rsid w:val="00110F49"/>
    <w:rsid w:val="00111D2A"/>
    <w:rsid w:val="0011227B"/>
    <w:rsid w:val="00113E31"/>
    <w:rsid w:val="00116BE2"/>
    <w:rsid w:val="00122874"/>
    <w:rsid w:val="00123C91"/>
    <w:rsid w:val="00123DAC"/>
    <w:rsid w:val="00126D71"/>
    <w:rsid w:val="00126DDE"/>
    <w:rsid w:val="001275A8"/>
    <w:rsid w:val="00130F38"/>
    <w:rsid w:val="00133F66"/>
    <w:rsid w:val="0013631B"/>
    <w:rsid w:val="0013672F"/>
    <w:rsid w:val="0014041A"/>
    <w:rsid w:val="001425B8"/>
    <w:rsid w:val="0014294E"/>
    <w:rsid w:val="00143BFD"/>
    <w:rsid w:val="0014486E"/>
    <w:rsid w:val="001473AA"/>
    <w:rsid w:val="00152A69"/>
    <w:rsid w:val="001534EE"/>
    <w:rsid w:val="001575A4"/>
    <w:rsid w:val="00157AB3"/>
    <w:rsid w:val="00157C39"/>
    <w:rsid w:val="0016032A"/>
    <w:rsid w:val="0016164C"/>
    <w:rsid w:val="0016208E"/>
    <w:rsid w:val="00162162"/>
    <w:rsid w:val="0016278E"/>
    <w:rsid w:val="00171A60"/>
    <w:rsid w:val="00173E5D"/>
    <w:rsid w:val="00174AC0"/>
    <w:rsid w:val="00177410"/>
    <w:rsid w:val="00182482"/>
    <w:rsid w:val="0018345A"/>
    <w:rsid w:val="0018432A"/>
    <w:rsid w:val="001846B9"/>
    <w:rsid w:val="00185E13"/>
    <w:rsid w:val="00186085"/>
    <w:rsid w:val="00186A0A"/>
    <w:rsid w:val="001905EA"/>
    <w:rsid w:val="001955BA"/>
    <w:rsid w:val="001A4F6D"/>
    <w:rsid w:val="001B0963"/>
    <w:rsid w:val="001B62C5"/>
    <w:rsid w:val="001B7B5A"/>
    <w:rsid w:val="001C718B"/>
    <w:rsid w:val="001C7E5D"/>
    <w:rsid w:val="001D3AFF"/>
    <w:rsid w:val="001E20F5"/>
    <w:rsid w:val="001E24FC"/>
    <w:rsid w:val="001E267D"/>
    <w:rsid w:val="001E3FC1"/>
    <w:rsid w:val="001E68B9"/>
    <w:rsid w:val="001E69AD"/>
    <w:rsid w:val="001E7788"/>
    <w:rsid w:val="001F1D47"/>
    <w:rsid w:val="001F3DDA"/>
    <w:rsid w:val="001F4706"/>
    <w:rsid w:val="002001B9"/>
    <w:rsid w:val="00204BB0"/>
    <w:rsid w:val="0020755D"/>
    <w:rsid w:val="0021321C"/>
    <w:rsid w:val="00215EB4"/>
    <w:rsid w:val="00216CFF"/>
    <w:rsid w:val="00221981"/>
    <w:rsid w:val="00221F6C"/>
    <w:rsid w:val="002235E1"/>
    <w:rsid w:val="00227F18"/>
    <w:rsid w:val="002308D1"/>
    <w:rsid w:val="00230F78"/>
    <w:rsid w:val="0023399F"/>
    <w:rsid w:val="0023440D"/>
    <w:rsid w:val="00236402"/>
    <w:rsid w:val="00237CBA"/>
    <w:rsid w:val="00241B27"/>
    <w:rsid w:val="00244818"/>
    <w:rsid w:val="0025046C"/>
    <w:rsid w:val="002546AA"/>
    <w:rsid w:val="0025734F"/>
    <w:rsid w:val="00260A7E"/>
    <w:rsid w:val="00260C8D"/>
    <w:rsid w:val="00267D54"/>
    <w:rsid w:val="00272FC3"/>
    <w:rsid w:val="00275467"/>
    <w:rsid w:val="002757ED"/>
    <w:rsid w:val="00277594"/>
    <w:rsid w:val="0027767F"/>
    <w:rsid w:val="00284247"/>
    <w:rsid w:val="00286ECB"/>
    <w:rsid w:val="00290E8C"/>
    <w:rsid w:val="0029117A"/>
    <w:rsid w:val="002930C2"/>
    <w:rsid w:val="0029465A"/>
    <w:rsid w:val="00296CDD"/>
    <w:rsid w:val="002A0105"/>
    <w:rsid w:val="002A536B"/>
    <w:rsid w:val="002A591B"/>
    <w:rsid w:val="002B04FC"/>
    <w:rsid w:val="002B0F5E"/>
    <w:rsid w:val="002B3A25"/>
    <w:rsid w:val="002B40AA"/>
    <w:rsid w:val="002B5C56"/>
    <w:rsid w:val="002B71BB"/>
    <w:rsid w:val="002B74B4"/>
    <w:rsid w:val="002C0E92"/>
    <w:rsid w:val="002C0FED"/>
    <w:rsid w:val="002C1FF7"/>
    <w:rsid w:val="002C31DE"/>
    <w:rsid w:val="002C3F85"/>
    <w:rsid w:val="002C7251"/>
    <w:rsid w:val="002D16EB"/>
    <w:rsid w:val="002D5F2A"/>
    <w:rsid w:val="002D63E0"/>
    <w:rsid w:val="002E1E73"/>
    <w:rsid w:val="002E455B"/>
    <w:rsid w:val="002F1217"/>
    <w:rsid w:val="002F206F"/>
    <w:rsid w:val="002F586E"/>
    <w:rsid w:val="002F5E2D"/>
    <w:rsid w:val="002F6049"/>
    <w:rsid w:val="002F7627"/>
    <w:rsid w:val="003008C2"/>
    <w:rsid w:val="00303B70"/>
    <w:rsid w:val="00310568"/>
    <w:rsid w:val="003128FF"/>
    <w:rsid w:val="00312C23"/>
    <w:rsid w:val="00313912"/>
    <w:rsid w:val="00314778"/>
    <w:rsid w:val="00315399"/>
    <w:rsid w:val="00316413"/>
    <w:rsid w:val="003212B7"/>
    <w:rsid w:val="00322F75"/>
    <w:rsid w:val="00322F9B"/>
    <w:rsid w:val="00324544"/>
    <w:rsid w:val="00324C74"/>
    <w:rsid w:val="00327FD0"/>
    <w:rsid w:val="00330E77"/>
    <w:rsid w:val="00335074"/>
    <w:rsid w:val="003358B3"/>
    <w:rsid w:val="003365ED"/>
    <w:rsid w:val="003414E4"/>
    <w:rsid w:val="00341D74"/>
    <w:rsid w:val="00343774"/>
    <w:rsid w:val="00344EDD"/>
    <w:rsid w:val="00345167"/>
    <w:rsid w:val="0035144E"/>
    <w:rsid w:val="00351BFE"/>
    <w:rsid w:val="00354569"/>
    <w:rsid w:val="00354CD1"/>
    <w:rsid w:val="003562B5"/>
    <w:rsid w:val="00357231"/>
    <w:rsid w:val="00357233"/>
    <w:rsid w:val="00360058"/>
    <w:rsid w:val="00360AF1"/>
    <w:rsid w:val="00361449"/>
    <w:rsid w:val="003620C5"/>
    <w:rsid w:val="00364E04"/>
    <w:rsid w:val="00370EC3"/>
    <w:rsid w:val="003720F2"/>
    <w:rsid w:val="00373ECE"/>
    <w:rsid w:val="0037718F"/>
    <w:rsid w:val="00384605"/>
    <w:rsid w:val="003869F3"/>
    <w:rsid w:val="00391801"/>
    <w:rsid w:val="00391986"/>
    <w:rsid w:val="00394B81"/>
    <w:rsid w:val="00394E16"/>
    <w:rsid w:val="00396401"/>
    <w:rsid w:val="00396A14"/>
    <w:rsid w:val="00397437"/>
    <w:rsid w:val="00397E21"/>
    <w:rsid w:val="003A32DB"/>
    <w:rsid w:val="003A5F54"/>
    <w:rsid w:val="003A72F9"/>
    <w:rsid w:val="003B18CB"/>
    <w:rsid w:val="003B3D7F"/>
    <w:rsid w:val="003B4503"/>
    <w:rsid w:val="003B792D"/>
    <w:rsid w:val="003C0A8B"/>
    <w:rsid w:val="003C11FA"/>
    <w:rsid w:val="003C6156"/>
    <w:rsid w:val="003C68C5"/>
    <w:rsid w:val="003C7B3D"/>
    <w:rsid w:val="003D1AE8"/>
    <w:rsid w:val="003D38B7"/>
    <w:rsid w:val="003D4F11"/>
    <w:rsid w:val="003D66CC"/>
    <w:rsid w:val="003D6E6A"/>
    <w:rsid w:val="003D7228"/>
    <w:rsid w:val="003E11E8"/>
    <w:rsid w:val="003E1A07"/>
    <w:rsid w:val="003E5797"/>
    <w:rsid w:val="003E5F3C"/>
    <w:rsid w:val="003E6C80"/>
    <w:rsid w:val="003F3116"/>
    <w:rsid w:val="003F4253"/>
    <w:rsid w:val="003F5F96"/>
    <w:rsid w:val="003F7AA3"/>
    <w:rsid w:val="00400A5E"/>
    <w:rsid w:val="00400F1C"/>
    <w:rsid w:val="00401230"/>
    <w:rsid w:val="00402B55"/>
    <w:rsid w:val="004055E2"/>
    <w:rsid w:val="00406A38"/>
    <w:rsid w:val="004101C0"/>
    <w:rsid w:val="00410415"/>
    <w:rsid w:val="00410AAF"/>
    <w:rsid w:val="00413198"/>
    <w:rsid w:val="00414B05"/>
    <w:rsid w:val="004159E8"/>
    <w:rsid w:val="00416B30"/>
    <w:rsid w:val="00416F55"/>
    <w:rsid w:val="00417928"/>
    <w:rsid w:val="00421AD7"/>
    <w:rsid w:val="00423B85"/>
    <w:rsid w:val="00426D73"/>
    <w:rsid w:val="00427031"/>
    <w:rsid w:val="00427CCB"/>
    <w:rsid w:val="00434CB0"/>
    <w:rsid w:val="00440F76"/>
    <w:rsid w:val="00441590"/>
    <w:rsid w:val="00442E4A"/>
    <w:rsid w:val="0045054F"/>
    <w:rsid w:val="00450912"/>
    <w:rsid w:val="004520C2"/>
    <w:rsid w:val="004570D4"/>
    <w:rsid w:val="0045745E"/>
    <w:rsid w:val="0046271B"/>
    <w:rsid w:val="004704B8"/>
    <w:rsid w:val="004753F8"/>
    <w:rsid w:val="004774B2"/>
    <w:rsid w:val="00477798"/>
    <w:rsid w:val="0048102D"/>
    <w:rsid w:val="004815A5"/>
    <w:rsid w:val="00482961"/>
    <w:rsid w:val="00482BFB"/>
    <w:rsid w:val="00482DC4"/>
    <w:rsid w:val="00483E06"/>
    <w:rsid w:val="00486FEC"/>
    <w:rsid w:val="00490E1C"/>
    <w:rsid w:val="00492150"/>
    <w:rsid w:val="00492855"/>
    <w:rsid w:val="00492B7C"/>
    <w:rsid w:val="0049792D"/>
    <w:rsid w:val="004A3E13"/>
    <w:rsid w:val="004A55E4"/>
    <w:rsid w:val="004B127C"/>
    <w:rsid w:val="004B18BF"/>
    <w:rsid w:val="004B7F77"/>
    <w:rsid w:val="004D0075"/>
    <w:rsid w:val="004D0D94"/>
    <w:rsid w:val="004D4A65"/>
    <w:rsid w:val="004D5657"/>
    <w:rsid w:val="004D6417"/>
    <w:rsid w:val="004D7361"/>
    <w:rsid w:val="004D74E1"/>
    <w:rsid w:val="004D7A42"/>
    <w:rsid w:val="004E0097"/>
    <w:rsid w:val="004E1539"/>
    <w:rsid w:val="004E1AE0"/>
    <w:rsid w:val="004E3C0B"/>
    <w:rsid w:val="004E5B09"/>
    <w:rsid w:val="004E7934"/>
    <w:rsid w:val="004F13FD"/>
    <w:rsid w:val="004F4744"/>
    <w:rsid w:val="004F57BC"/>
    <w:rsid w:val="004F5BAA"/>
    <w:rsid w:val="005016D9"/>
    <w:rsid w:val="00501AEE"/>
    <w:rsid w:val="00503452"/>
    <w:rsid w:val="005034AC"/>
    <w:rsid w:val="00503556"/>
    <w:rsid w:val="00503F75"/>
    <w:rsid w:val="005053C3"/>
    <w:rsid w:val="00505518"/>
    <w:rsid w:val="0051471C"/>
    <w:rsid w:val="00515B94"/>
    <w:rsid w:val="005208D0"/>
    <w:rsid w:val="00524AB2"/>
    <w:rsid w:val="00524FA2"/>
    <w:rsid w:val="00526742"/>
    <w:rsid w:val="005267D8"/>
    <w:rsid w:val="0053126E"/>
    <w:rsid w:val="005325A3"/>
    <w:rsid w:val="005356E4"/>
    <w:rsid w:val="005365A9"/>
    <w:rsid w:val="00541798"/>
    <w:rsid w:val="00541C75"/>
    <w:rsid w:val="0054590C"/>
    <w:rsid w:val="00547055"/>
    <w:rsid w:val="00547484"/>
    <w:rsid w:val="005501C3"/>
    <w:rsid w:val="00553118"/>
    <w:rsid w:val="00553799"/>
    <w:rsid w:val="0056121D"/>
    <w:rsid w:val="00563894"/>
    <w:rsid w:val="00563A61"/>
    <w:rsid w:val="00564A52"/>
    <w:rsid w:val="005709EC"/>
    <w:rsid w:val="00571AB9"/>
    <w:rsid w:val="00576D75"/>
    <w:rsid w:val="00580CAA"/>
    <w:rsid w:val="005835C4"/>
    <w:rsid w:val="005838B2"/>
    <w:rsid w:val="00585D87"/>
    <w:rsid w:val="005926B1"/>
    <w:rsid w:val="005953C2"/>
    <w:rsid w:val="005974E3"/>
    <w:rsid w:val="005A09A9"/>
    <w:rsid w:val="005A340D"/>
    <w:rsid w:val="005A4760"/>
    <w:rsid w:val="005A633E"/>
    <w:rsid w:val="005A6652"/>
    <w:rsid w:val="005A7189"/>
    <w:rsid w:val="005A74E1"/>
    <w:rsid w:val="005B0C66"/>
    <w:rsid w:val="005B1556"/>
    <w:rsid w:val="005B5256"/>
    <w:rsid w:val="005B7A01"/>
    <w:rsid w:val="005C0E81"/>
    <w:rsid w:val="005C12A4"/>
    <w:rsid w:val="005C27FC"/>
    <w:rsid w:val="005C454B"/>
    <w:rsid w:val="005C5677"/>
    <w:rsid w:val="005C5A81"/>
    <w:rsid w:val="005C5D28"/>
    <w:rsid w:val="005C5FA7"/>
    <w:rsid w:val="005C6600"/>
    <w:rsid w:val="005C76A6"/>
    <w:rsid w:val="005C76CA"/>
    <w:rsid w:val="005D027F"/>
    <w:rsid w:val="005D069B"/>
    <w:rsid w:val="005D43A9"/>
    <w:rsid w:val="005D5BD9"/>
    <w:rsid w:val="005D72D7"/>
    <w:rsid w:val="005D79C7"/>
    <w:rsid w:val="005E467C"/>
    <w:rsid w:val="005E6684"/>
    <w:rsid w:val="005E72A6"/>
    <w:rsid w:val="005F121E"/>
    <w:rsid w:val="005F19D0"/>
    <w:rsid w:val="005F1A51"/>
    <w:rsid w:val="005F1FB4"/>
    <w:rsid w:val="005F22FE"/>
    <w:rsid w:val="005F28D1"/>
    <w:rsid w:val="005F3D87"/>
    <w:rsid w:val="005F6C2B"/>
    <w:rsid w:val="00602933"/>
    <w:rsid w:val="006034B5"/>
    <w:rsid w:val="006037D1"/>
    <w:rsid w:val="0060759F"/>
    <w:rsid w:val="00607EE4"/>
    <w:rsid w:val="00611510"/>
    <w:rsid w:val="00612514"/>
    <w:rsid w:val="00613B91"/>
    <w:rsid w:val="00614100"/>
    <w:rsid w:val="00615F0D"/>
    <w:rsid w:val="00620E71"/>
    <w:rsid w:val="006214B8"/>
    <w:rsid w:val="00622850"/>
    <w:rsid w:val="00623654"/>
    <w:rsid w:val="00627C91"/>
    <w:rsid w:val="00627FF8"/>
    <w:rsid w:val="0063186A"/>
    <w:rsid w:val="006358E8"/>
    <w:rsid w:val="00641B61"/>
    <w:rsid w:val="00646E4C"/>
    <w:rsid w:val="0064767D"/>
    <w:rsid w:val="00650061"/>
    <w:rsid w:val="00650D1A"/>
    <w:rsid w:val="00652D02"/>
    <w:rsid w:val="00653A13"/>
    <w:rsid w:val="00654C4E"/>
    <w:rsid w:val="006608BC"/>
    <w:rsid w:val="00663824"/>
    <w:rsid w:val="00664949"/>
    <w:rsid w:val="00665E2A"/>
    <w:rsid w:val="00667CA0"/>
    <w:rsid w:val="006701F9"/>
    <w:rsid w:val="00670438"/>
    <w:rsid w:val="0067129C"/>
    <w:rsid w:val="00673063"/>
    <w:rsid w:val="00675AC5"/>
    <w:rsid w:val="0067733C"/>
    <w:rsid w:val="00681C20"/>
    <w:rsid w:val="006831A7"/>
    <w:rsid w:val="00683541"/>
    <w:rsid w:val="006918C5"/>
    <w:rsid w:val="0069285A"/>
    <w:rsid w:val="006969C7"/>
    <w:rsid w:val="006A3070"/>
    <w:rsid w:val="006A4F3B"/>
    <w:rsid w:val="006A528D"/>
    <w:rsid w:val="006A7C13"/>
    <w:rsid w:val="006B381B"/>
    <w:rsid w:val="006B4015"/>
    <w:rsid w:val="006B5383"/>
    <w:rsid w:val="006B7E41"/>
    <w:rsid w:val="006C2E69"/>
    <w:rsid w:val="006C32AF"/>
    <w:rsid w:val="006C402C"/>
    <w:rsid w:val="006C63A9"/>
    <w:rsid w:val="006D0DD9"/>
    <w:rsid w:val="006D231B"/>
    <w:rsid w:val="006D2E26"/>
    <w:rsid w:val="006D4414"/>
    <w:rsid w:val="006D5C32"/>
    <w:rsid w:val="006D649E"/>
    <w:rsid w:val="006D7EFB"/>
    <w:rsid w:val="006E00C1"/>
    <w:rsid w:val="006E0B10"/>
    <w:rsid w:val="006E2E8D"/>
    <w:rsid w:val="006E4507"/>
    <w:rsid w:val="006E58A4"/>
    <w:rsid w:val="006F6F76"/>
    <w:rsid w:val="006F7B25"/>
    <w:rsid w:val="00702A0E"/>
    <w:rsid w:val="00707420"/>
    <w:rsid w:val="0070748C"/>
    <w:rsid w:val="007076DB"/>
    <w:rsid w:val="00707C06"/>
    <w:rsid w:val="00710E63"/>
    <w:rsid w:val="0071702F"/>
    <w:rsid w:val="00717D15"/>
    <w:rsid w:val="00724033"/>
    <w:rsid w:val="00734A6E"/>
    <w:rsid w:val="00734C6D"/>
    <w:rsid w:val="00734E5D"/>
    <w:rsid w:val="00735700"/>
    <w:rsid w:val="00735EC9"/>
    <w:rsid w:val="00741620"/>
    <w:rsid w:val="0074259C"/>
    <w:rsid w:val="007425BD"/>
    <w:rsid w:val="00744BB8"/>
    <w:rsid w:val="00745BBE"/>
    <w:rsid w:val="00745D07"/>
    <w:rsid w:val="00746879"/>
    <w:rsid w:val="0075410F"/>
    <w:rsid w:val="00754892"/>
    <w:rsid w:val="00754C9D"/>
    <w:rsid w:val="00756D9D"/>
    <w:rsid w:val="00764A6E"/>
    <w:rsid w:val="007669C5"/>
    <w:rsid w:val="007703DC"/>
    <w:rsid w:val="007712F8"/>
    <w:rsid w:val="0077161D"/>
    <w:rsid w:val="0077210C"/>
    <w:rsid w:val="007724ED"/>
    <w:rsid w:val="0077255E"/>
    <w:rsid w:val="007746B3"/>
    <w:rsid w:val="007776CB"/>
    <w:rsid w:val="007819F6"/>
    <w:rsid w:val="00782F03"/>
    <w:rsid w:val="00783560"/>
    <w:rsid w:val="0078720B"/>
    <w:rsid w:val="007901B8"/>
    <w:rsid w:val="007919B7"/>
    <w:rsid w:val="00791AB6"/>
    <w:rsid w:val="00792B5E"/>
    <w:rsid w:val="00793762"/>
    <w:rsid w:val="00794432"/>
    <w:rsid w:val="00794985"/>
    <w:rsid w:val="007950FE"/>
    <w:rsid w:val="00795DFD"/>
    <w:rsid w:val="00795F4B"/>
    <w:rsid w:val="00797E03"/>
    <w:rsid w:val="00797E98"/>
    <w:rsid w:val="007A4A06"/>
    <w:rsid w:val="007A4D00"/>
    <w:rsid w:val="007A6505"/>
    <w:rsid w:val="007A66BB"/>
    <w:rsid w:val="007B228F"/>
    <w:rsid w:val="007B56C8"/>
    <w:rsid w:val="007B73E0"/>
    <w:rsid w:val="007C40B8"/>
    <w:rsid w:val="007C4326"/>
    <w:rsid w:val="007C7E5B"/>
    <w:rsid w:val="007D2223"/>
    <w:rsid w:val="007D25D7"/>
    <w:rsid w:val="007D62A3"/>
    <w:rsid w:val="007D7D04"/>
    <w:rsid w:val="007E2330"/>
    <w:rsid w:val="007E3406"/>
    <w:rsid w:val="007E5AA7"/>
    <w:rsid w:val="007F1D20"/>
    <w:rsid w:val="007F45C4"/>
    <w:rsid w:val="007F6158"/>
    <w:rsid w:val="007F6370"/>
    <w:rsid w:val="007F75AD"/>
    <w:rsid w:val="007F7611"/>
    <w:rsid w:val="00800CB8"/>
    <w:rsid w:val="00804A77"/>
    <w:rsid w:val="0081155B"/>
    <w:rsid w:val="008148B9"/>
    <w:rsid w:val="008158D0"/>
    <w:rsid w:val="00817AE0"/>
    <w:rsid w:val="0082125F"/>
    <w:rsid w:val="008215BD"/>
    <w:rsid w:val="00832E38"/>
    <w:rsid w:val="00834119"/>
    <w:rsid w:val="00834474"/>
    <w:rsid w:val="00834947"/>
    <w:rsid w:val="008350AC"/>
    <w:rsid w:val="00840160"/>
    <w:rsid w:val="00841001"/>
    <w:rsid w:val="00841D76"/>
    <w:rsid w:val="00842A50"/>
    <w:rsid w:val="00842CFE"/>
    <w:rsid w:val="00844248"/>
    <w:rsid w:val="00844585"/>
    <w:rsid w:val="008475D0"/>
    <w:rsid w:val="008506CB"/>
    <w:rsid w:val="00851484"/>
    <w:rsid w:val="008516D2"/>
    <w:rsid w:val="00854206"/>
    <w:rsid w:val="00854E15"/>
    <w:rsid w:val="00854E16"/>
    <w:rsid w:val="0085688B"/>
    <w:rsid w:val="00860198"/>
    <w:rsid w:val="008606BA"/>
    <w:rsid w:val="008615A3"/>
    <w:rsid w:val="00863A1D"/>
    <w:rsid w:val="00866E5E"/>
    <w:rsid w:val="00867D0E"/>
    <w:rsid w:val="00870CFA"/>
    <w:rsid w:val="00871095"/>
    <w:rsid w:val="00881AE2"/>
    <w:rsid w:val="00882717"/>
    <w:rsid w:val="0088571B"/>
    <w:rsid w:val="00885CAE"/>
    <w:rsid w:val="0088670B"/>
    <w:rsid w:val="008939A8"/>
    <w:rsid w:val="00896961"/>
    <w:rsid w:val="0089723A"/>
    <w:rsid w:val="008A0E5C"/>
    <w:rsid w:val="008A1C3F"/>
    <w:rsid w:val="008A4076"/>
    <w:rsid w:val="008A5E09"/>
    <w:rsid w:val="008A6001"/>
    <w:rsid w:val="008B0A1B"/>
    <w:rsid w:val="008B1374"/>
    <w:rsid w:val="008B7406"/>
    <w:rsid w:val="008C2387"/>
    <w:rsid w:val="008C25E1"/>
    <w:rsid w:val="008C4F2A"/>
    <w:rsid w:val="008C5827"/>
    <w:rsid w:val="008C7738"/>
    <w:rsid w:val="008D16E6"/>
    <w:rsid w:val="008D2789"/>
    <w:rsid w:val="008D381E"/>
    <w:rsid w:val="008D3E77"/>
    <w:rsid w:val="008D6854"/>
    <w:rsid w:val="008E4781"/>
    <w:rsid w:val="008E5E13"/>
    <w:rsid w:val="008F10F9"/>
    <w:rsid w:val="008F21AF"/>
    <w:rsid w:val="008F33B2"/>
    <w:rsid w:val="008F5A1A"/>
    <w:rsid w:val="008F66A3"/>
    <w:rsid w:val="008F66F9"/>
    <w:rsid w:val="0090141A"/>
    <w:rsid w:val="00901C4C"/>
    <w:rsid w:val="00901C76"/>
    <w:rsid w:val="00906909"/>
    <w:rsid w:val="00907C6B"/>
    <w:rsid w:val="009116D2"/>
    <w:rsid w:val="009133BB"/>
    <w:rsid w:val="00916434"/>
    <w:rsid w:val="00920B92"/>
    <w:rsid w:val="0092291A"/>
    <w:rsid w:val="00922A01"/>
    <w:rsid w:val="00922DD0"/>
    <w:rsid w:val="00924BCD"/>
    <w:rsid w:val="00925AF1"/>
    <w:rsid w:val="00930480"/>
    <w:rsid w:val="00930D64"/>
    <w:rsid w:val="00934DEB"/>
    <w:rsid w:val="009375F1"/>
    <w:rsid w:val="00937F95"/>
    <w:rsid w:val="0094023D"/>
    <w:rsid w:val="00940F4F"/>
    <w:rsid w:val="009425D0"/>
    <w:rsid w:val="009429C2"/>
    <w:rsid w:val="00943AA7"/>
    <w:rsid w:val="0094554E"/>
    <w:rsid w:val="00945561"/>
    <w:rsid w:val="009457C7"/>
    <w:rsid w:val="009458DC"/>
    <w:rsid w:val="00947848"/>
    <w:rsid w:val="009479F9"/>
    <w:rsid w:val="00950B65"/>
    <w:rsid w:val="009533B3"/>
    <w:rsid w:val="00954599"/>
    <w:rsid w:val="009579C0"/>
    <w:rsid w:val="009616BE"/>
    <w:rsid w:val="00962BA6"/>
    <w:rsid w:val="00963C93"/>
    <w:rsid w:val="009646AB"/>
    <w:rsid w:val="00965CBA"/>
    <w:rsid w:val="009674E3"/>
    <w:rsid w:val="00967BFA"/>
    <w:rsid w:val="00972C81"/>
    <w:rsid w:val="00977B54"/>
    <w:rsid w:val="00980E58"/>
    <w:rsid w:val="009824DA"/>
    <w:rsid w:val="00983DE1"/>
    <w:rsid w:val="00984E46"/>
    <w:rsid w:val="00986541"/>
    <w:rsid w:val="00986C40"/>
    <w:rsid w:val="00987299"/>
    <w:rsid w:val="009879D9"/>
    <w:rsid w:val="00992DA7"/>
    <w:rsid w:val="009950AE"/>
    <w:rsid w:val="00995A42"/>
    <w:rsid w:val="00997C16"/>
    <w:rsid w:val="009A7D45"/>
    <w:rsid w:val="009B2193"/>
    <w:rsid w:val="009B238C"/>
    <w:rsid w:val="009B273C"/>
    <w:rsid w:val="009C0DEA"/>
    <w:rsid w:val="009C49C4"/>
    <w:rsid w:val="009C527F"/>
    <w:rsid w:val="009C65CF"/>
    <w:rsid w:val="009D2084"/>
    <w:rsid w:val="009D4483"/>
    <w:rsid w:val="009D5A47"/>
    <w:rsid w:val="009D64EB"/>
    <w:rsid w:val="009D6D23"/>
    <w:rsid w:val="009E0399"/>
    <w:rsid w:val="009E25BE"/>
    <w:rsid w:val="009E2784"/>
    <w:rsid w:val="009E2EA2"/>
    <w:rsid w:val="009E48BF"/>
    <w:rsid w:val="009E599A"/>
    <w:rsid w:val="009E6269"/>
    <w:rsid w:val="009F1058"/>
    <w:rsid w:val="009F24B9"/>
    <w:rsid w:val="009F3980"/>
    <w:rsid w:val="00A031A2"/>
    <w:rsid w:val="00A03E8C"/>
    <w:rsid w:val="00A051E2"/>
    <w:rsid w:val="00A0581B"/>
    <w:rsid w:val="00A0664C"/>
    <w:rsid w:val="00A07080"/>
    <w:rsid w:val="00A118EE"/>
    <w:rsid w:val="00A1269C"/>
    <w:rsid w:val="00A14E28"/>
    <w:rsid w:val="00A15229"/>
    <w:rsid w:val="00A163EC"/>
    <w:rsid w:val="00A16C3E"/>
    <w:rsid w:val="00A175C7"/>
    <w:rsid w:val="00A17630"/>
    <w:rsid w:val="00A217E1"/>
    <w:rsid w:val="00A22388"/>
    <w:rsid w:val="00A229D2"/>
    <w:rsid w:val="00A22AC8"/>
    <w:rsid w:val="00A237A0"/>
    <w:rsid w:val="00A2532D"/>
    <w:rsid w:val="00A262A2"/>
    <w:rsid w:val="00A267C9"/>
    <w:rsid w:val="00A30CF3"/>
    <w:rsid w:val="00A352AE"/>
    <w:rsid w:val="00A35F4C"/>
    <w:rsid w:val="00A3700D"/>
    <w:rsid w:val="00A378A4"/>
    <w:rsid w:val="00A40080"/>
    <w:rsid w:val="00A47385"/>
    <w:rsid w:val="00A51F5B"/>
    <w:rsid w:val="00A534BD"/>
    <w:rsid w:val="00A53E81"/>
    <w:rsid w:val="00A55D9E"/>
    <w:rsid w:val="00A56A6D"/>
    <w:rsid w:val="00A57F44"/>
    <w:rsid w:val="00A60B49"/>
    <w:rsid w:val="00A61AD9"/>
    <w:rsid w:val="00A6347F"/>
    <w:rsid w:val="00A64D60"/>
    <w:rsid w:val="00A674C0"/>
    <w:rsid w:val="00A67B1F"/>
    <w:rsid w:val="00A719B7"/>
    <w:rsid w:val="00A71AEC"/>
    <w:rsid w:val="00A803B1"/>
    <w:rsid w:val="00A80976"/>
    <w:rsid w:val="00A818E4"/>
    <w:rsid w:val="00A86CB1"/>
    <w:rsid w:val="00A87E51"/>
    <w:rsid w:val="00A87F50"/>
    <w:rsid w:val="00A94A6D"/>
    <w:rsid w:val="00A95168"/>
    <w:rsid w:val="00A96D2E"/>
    <w:rsid w:val="00A97353"/>
    <w:rsid w:val="00AA332D"/>
    <w:rsid w:val="00AA38AE"/>
    <w:rsid w:val="00AA45C3"/>
    <w:rsid w:val="00AA6625"/>
    <w:rsid w:val="00AB2336"/>
    <w:rsid w:val="00AB576D"/>
    <w:rsid w:val="00AB650C"/>
    <w:rsid w:val="00AB7526"/>
    <w:rsid w:val="00AB7DE1"/>
    <w:rsid w:val="00AC10D1"/>
    <w:rsid w:val="00AC3349"/>
    <w:rsid w:val="00AC36FC"/>
    <w:rsid w:val="00AC5329"/>
    <w:rsid w:val="00AC7228"/>
    <w:rsid w:val="00AD14CE"/>
    <w:rsid w:val="00AD2872"/>
    <w:rsid w:val="00AD3101"/>
    <w:rsid w:val="00AD34F3"/>
    <w:rsid w:val="00AD437A"/>
    <w:rsid w:val="00AD5D29"/>
    <w:rsid w:val="00AE55FF"/>
    <w:rsid w:val="00AE5973"/>
    <w:rsid w:val="00AF06A5"/>
    <w:rsid w:val="00AF29EF"/>
    <w:rsid w:val="00B004FC"/>
    <w:rsid w:val="00B00B1D"/>
    <w:rsid w:val="00B0597C"/>
    <w:rsid w:val="00B1008B"/>
    <w:rsid w:val="00B11340"/>
    <w:rsid w:val="00B13C31"/>
    <w:rsid w:val="00B13FE5"/>
    <w:rsid w:val="00B205B1"/>
    <w:rsid w:val="00B21F7F"/>
    <w:rsid w:val="00B232F0"/>
    <w:rsid w:val="00B33D2F"/>
    <w:rsid w:val="00B3500E"/>
    <w:rsid w:val="00B366E2"/>
    <w:rsid w:val="00B4124F"/>
    <w:rsid w:val="00B42415"/>
    <w:rsid w:val="00B427DA"/>
    <w:rsid w:val="00B42EC5"/>
    <w:rsid w:val="00B42F91"/>
    <w:rsid w:val="00B43BAE"/>
    <w:rsid w:val="00B451AF"/>
    <w:rsid w:val="00B50E37"/>
    <w:rsid w:val="00B52F99"/>
    <w:rsid w:val="00B54226"/>
    <w:rsid w:val="00B554C2"/>
    <w:rsid w:val="00B558F3"/>
    <w:rsid w:val="00B55CD3"/>
    <w:rsid w:val="00B60349"/>
    <w:rsid w:val="00B610F5"/>
    <w:rsid w:val="00B6562F"/>
    <w:rsid w:val="00B665B5"/>
    <w:rsid w:val="00B67831"/>
    <w:rsid w:val="00B733A5"/>
    <w:rsid w:val="00B770AB"/>
    <w:rsid w:val="00B771BD"/>
    <w:rsid w:val="00B80888"/>
    <w:rsid w:val="00B8105B"/>
    <w:rsid w:val="00B8137C"/>
    <w:rsid w:val="00B8185A"/>
    <w:rsid w:val="00B833E6"/>
    <w:rsid w:val="00B87975"/>
    <w:rsid w:val="00B87D50"/>
    <w:rsid w:val="00B95E37"/>
    <w:rsid w:val="00BA2486"/>
    <w:rsid w:val="00BA5B7E"/>
    <w:rsid w:val="00BA6422"/>
    <w:rsid w:val="00BA6873"/>
    <w:rsid w:val="00BB1168"/>
    <w:rsid w:val="00BB4068"/>
    <w:rsid w:val="00BB5DFF"/>
    <w:rsid w:val="00BC1A03"/>
    <w:rsid w:val="00BC6703"/>
    <w:rsid w:val="00BD04B2"/>
    <w:rsid w:val="00BD2208"/>
    <w:rsid w:val="00BD309F"/>
    <w:rsid w:val="00BD42F9"/>
    <w:rsid w:val="00BD4C69"/>
    <w:rsid w:val="00BD6788"/>
    <w:rsid w:val="00BE42E6"/>
    <w:rsid w:val="00BE6059"/>
    <w:rsid w:val="00BE6215"/>
    <w:rsid w:val="00BE6C66"/>
    <w:rsid w:val="00BE6E2A"/>
    <w:rsid w:val="00BF073F"/>
    <w:rsid w:val="00BF2D47"/>
    <w:rsid w:val="00BF405B"/>
    <w:rsid w:val="00BF4657"/>
    <w:rsid w:val="00BF483C"/>
    <w:rsid w:val="00BF6200"/>
    <w:rsid w:val="00BF64CE"/>
    <w:rsid w:val="00C00CEF"/>
    <w:rsid w:val="00C01323"/>
    <w:rsid w:val="00C01974"/>
    <w:rsid w:val="00C01F0B"/>
    <w:rsid w:val="00C03CA2"/>
    <w:rsid w:val="00C04136"/>
    <w:rsid w:val="00C04528"/>
    <w:rsid w:val="00C0455E"/>
    <w:rsid w:val="00C04D6E"/>
    <w:rsid w:val="00C10694"/>
    <w:rsid w:val="00C10D9C"/>
    <w:rsid w:val="00C21DD2"/>
    <w:rsid w:val="00C22948"/>
    <w:rsid w:val="00C2392B"/>
    <w:rsid w:val="00C253DD"/>
    <w:rsid w:val="00C2774E"/>
    <w:rsid w:val="00C31C17"/>
    <w:rsid w:val="00C32284"/>
    <w:rsid w:val="00C325F2"/>
    <w:rsid w:val="00C32F7E"/>
    <w:rsid w:val="00C358D6"/>
    <w:rsid w:val="00C376AA"/>
    <w:rsid w:val="00C377BB"/>
    <w:rsid w:val="00C42DED"/>
    <w:rsid w:val="00C446D7"/>
    <w:rsid w:val="00C52762"/>
    <w:rsid w:val="00C56A93"/>
    <w:rsid w:val="00C60F80"/>
    <w:rsid w:val="00C622DC"/>
    <w:rsid w:val="00C63390"/>
    <w:rsid w:val="00C67E77"/>
    <w:rsid w:val="00C7061B"/>
    <w:rsid w:val="00C70919"/>
    <w:rsid w:val="00C716EA"/>
    <w:rsid w:val="00C729C7"/>
    <w:rsid w:val="00C7438D"/>
    <w:rsid w:val="00C74FF7"/>
    <w:rsid w:val="00C75029"/>
    <w:rsid w:val="00C75E07"/>
    <w:rsid w:val="00C779F4"/>
    <w:rsid w:val="00C80A34"/>
    <w:rsid w:val="00C82652"/>
    <w:rsid w:val="00C844CB"/>
    <w:rsid w:val="00C84601"/>
    <w:rsid w:val="00C857AF"/>
    <w:rsid w:val="00C87032"/>
    <w:rsid w:val="00C87289"/>
    <w:rsid w:val="00C90114"/>
    <w:rsid w:val="00C90F53"/>
    <w:rsid w:val="00C97278"/>
    <w:rsid w:val="00CA2517"/>
    <w:rsid w:val="00CA4142"/>
    <w:rsid w:val="00CA5283"/>
    <w:rsid w:val="00CA705D"/>
    <w:rsid w:val="00CB00C4"/>
    <w:rsid w:val="00CB0E67"/>
    <w:rsid w:val="00CB1350"/>
    <w:rsid w:val="00CB2A3F"/>
    <w:rsid w:val="00CB7117"/>
    <w:rsid w:val="00CB7222"/>
    <w:rsid w:val="00CC2FCA"/>
    <w:rsid w:val="00CC38A0"/>
    <w:rsid w:val="00CC6048"/>
    <w:rsid w:val="00CC7422"/>
    <w:rsid w:val="00CD3260"/>
    <w:rsid w:val="00CD3473"/>
    <w:rsid w:val="00CD5B5E"/>
    <w:rsid w:val="00CE0296"/>
    <w:rsid w:val="00CE0725"/>
    <w:rsid w:val="00CE1EB1"/>
    <w:rsid w:val="00CE303C"/>
    <w:rsid w:val="00CE3412"/>
    <w:rsid w:val="00CF0F76"/>
    <w:rsid w:val="00CF3327"/>
    <w:rsid w:val="00CF364A"/>
    <w:rsid w:val="00D0218C"/>
    <w:rsid w:val="00D02A8A"/>
    <w:rsid w:val="00D03EA5"/>
    <w:rsid w:val="00D0610F"/>
    <w:rsid w:val="00D1072C"/>
    <w:rsid w:val="00D11474"/>
    <w:rsid w:val="00D12A37"/>
    <w:rsid w:val="00D13FC1"/>
    <w:rsid w:val="00D17963"/>
    <w:rsid w:val="00D2100B"/>
    <w:rsid w:val="00D22659"/>
    <w:rsid w:val="00D24037"/>
    <w:rsid w:val="00D24780"/>
    <w:rsid w:val="00D2694C"/>
    <w:rsid w:val="00D27E9A"/>
    <w:rsid w:val="00D310C4"/>
    <w:rsid w:val="00D31593"/>
    <w:rsid w:val="00D34EC0"/>
    <w:rsid w:val="00D35F00"/>
    <w:rsid w:val="00D361F7"/>
    <w:rsid w:val="00D36882"/>
    <w:rsid w:val="00D36DA2"/>
    <w:rsid w:val="00D4357E"/>
    <w:rsid w:val="00D44A9E"/>
    <w:rsid w:val="00D45C58"/>
    <w:rsid w:val="00D5192D"/>
    <w:rsid w:val="00D52152"/>
    <w:rsid w:val="00D52845"/>
    <w:rsid w:val="00D53D7D"/>
    <w:rsid w:val="00D60ADE"/>
    <w:rsid w:val="00D60C5F"/>
    <w:rsid w:val="00D616AD"/>
    <w:rsid w:val="00D61947"/>
    <w:rsid w:val="00D61DD1"/>
    <w:rsid w:val="00D62370"/>
    <w:rsid w:val="00D64E40"/>
    <w:rsid w:val="00D65BB0"/>
    <w:rsid w:val="00D67602"/>
    <w:rsid w:val="00D67825"/>
    <w:rsid w:val="00D71924"/>
    <w:rsid w:val="00D71E43"/>
    <w:rsid w:val="00D8274F"/>
    <w:rsid w:val="00D83CD3"/>
    <w:rsid w:val="00D918FD"/>
    <w:rsid w:val="00D93AF5"/>
    <w:rsid w:val="00D95561"/>
    <w:rsid w:val="00D96C18"/>
    <w:rsid w:val="00D974B1"/>
    <w:rsid w:val="00DA0FC4"/>
    <w:rsid w:val="00DA1265"/>
    <w:rsid w:val="00DA233A"/>
    <w:rsid w:val="00DA361D"/>
    <w:rsid w:val="00DA6CF0"/>
    <w:rsid w:val="00DB397C"/>
    <w:rsid w:val="00DB3C64"/>
    <w:rsid w:val="00DB5CB5"/>
    <w:rsid w:val="00DB5F3F"/>
    <w:rsid w:val="00DB7528"/>
    <w:rsid w:val="00DC13E5"/>
    <w:rsid w:val="00DC14F8"/>
    <w:rsid w:val="00DC24CA"/>
    <w:rsid w:val="00DC37D5"/>
    <w:rsid w:val="00DC744C"/>
    <w:rsid w:val="00DC7BBA"/>
    <w:rsid w:val="00DD161F"/>
    <w:rsid w:val="00DD2D38"/>
    <w:rsid w:val="00DD4DAD"/>
    <w:rsid w:val="00DE44F4"/>
    <w:rsid w:val="00DF11DF"/>
    <w:rsid w:val="00DF202B"/>
    <w:rsid w:val="00DF40EE"/>
    <w:rsid w:val="00DF4179"/>
    <w:rsid w:val="00DF4E20"/>
    <w:rsid w:val="00DF5E94"/>
    <w:rsid w:val="00DF5F4B"/>
    <w:rsid w:val="00DF6278"/>
    <w:rsid w:val="00DF693D"/>
    <w:rsid w:val="00E017D1"/>
    <w:rsid w:val="00E02B34"/>
    <w:rsid w:val="00E02D8C"/>
    <w:rsid w:val="00E03373"/>
    <w:rsid w:val="00E03678"/>
    <w:rsid w:val="00E05179"/>
    <w:rsid w:val="00E06F29"/>
    <w:rsid w:val="00E0757C"/>
    <w:rsid w:val="00E07F43"/>
    <w:rsid w:val="00E113C5"/>
    <w:rsid w:val="00E13E26"/>
    <w:rsid w:val="00E1559F"/>
    <w:rsid w:val="00E15A52"/>
    <w:rsid w:val="00E166F1"/>
    <w:rsid w:val="00E17020"/>
    <w:rsid w:val="00E22BE0"/>
    <w:rsid w:val="00E23F01"/>
    <w:rsid w:val="00E2404F"/>
    <w:rsid w:val="00E277E1"/>
    <w:rsid w:val="00E31899"/>
    <w:rsid w:val="00E323C7"/>
    <w:rsid w:val="00E32E50"/>
    <w:rsid w:val="00E32F5F"/>
    <w:rsid w:val="00E34955"/>
    <w:rsid w:val="00E36CA7"/>
    <w:rsid w:val="00E37C7C"/>
    <w:rsid w:val="00E40116"/>
    <w:rsid w:val="00E41AF1"/>
    <w:rsid w:val="00E42D3F"/>
    <w:rsid w:val="00E44246"/>
    <w:rsid w:val="00E44BF3"/>
    <w:rsid w:val="00E45BC3"/>
    <w:rsid w:val="00E52C22"/>
    <w:rsid w:val="00E565C0"/>
    <w:rsid w:val="00E60B30"/>
    <w:rsid w:val="00E635C1"/>
    <w:rsid w:val="00E638B8"/>
    <w:rsid w:val="00E65826"/>
    <w:rsid w:val="00E65D18"/>
    <w:rsid w:val="00E67C27"/>
    <w:rsid w:val="00E67DA6"/>
    <w:rsid w:val="00E7093E"/>
    <w:rsid w:val="00E70BBF"/>
    <w:rsid w:val="00E713B9"/>
    <w:rsid w:val="00E737DF"/>
    <w:rsid w:val="00E74225"/>
    <w:rsid w:val="00E74C22"/>
    <w:rsid w:val="00E75B15"/>
    <w:rsid w:val="00E80771"/>
    <w:rsid w:val="00E8118A"/>
    <w:rsid w:val="00E82528"/>
    <w:rsid w:val="00E8466D"/>
    <w:rsid w:val="00E87013"/>
    <w:rsid w:val="00E8730E"/>
    <w:rsid w:val="00E90D59"/>
    <w:rsid w:val="00E92D3D"/>
    <w:rsid w:val="00E9398E"/>
    <w:rsid w:val="00E94AC1"/>
    <w:rsid w:val="00EA0D3A"/>
    <w:rsid w:val="00EA12AE"/>
    <w:rsid w:val="00EA400B"/>
    <w:rsid w:val="00EA661B"/>
    <w:rsid w:val="00EB166C"/>
    <w:rsid w:val="00EB52CD"/>
    <w:rsid w:val="00EB670C"/>
    <w:rsid w:val="00EC16FB"/>
    <w:rsid w:val="00EC7092"/>
    <w:rsid w:val="00ED1DC9"/>
    <w:rsid w:val="00ED2399"/>
    <w:rsid w:val="00ED3B66"/>
    <w:rsid w:val="00ED485B"/>
    <w:rsid w:val="00ED669D"/>
    <w:rsid w:val="00EE4275"/>
    <w:rsid w:val="00EE4B38"/>
    <w:rsid w:val="00EF18C7"/>
    <w:rsid w:val="00EF19C5"/>
    <w:rsid w:val="00EF3C69"/>
    <w:rsid w:val="00EF671B"/>
    <w:rsid w:val="00F00625"/>
    <w:rsid w:val="00F02CDA"/>
    <w:rsid w:val="00F036A1"/>
    <w:rsid w:val="00F0670A"/>
    <w:rsid w:val="00F10B3E"/>
    <w:rsid w:val="00F13C4C"/>
    <w:rsid w:val="00F23A22"/>
    <w:rsid w:val="00F25025"/>
    <w:rsid w:val="00F26E68"/>
    <w:rsid w:val="00F26FCD"/>
    <w:rsid w:val="00F31290"/>
    <w:rsid w:val="00F31BF6"/>
    <w:rsid w:val="00F3427D"/>
    <w:rsid w:val="00F358E6"/>
    <w:rsid w:val="00F40FAF"/>
    <w:rsid w:val="00F429BD"/>
    <w:rsid w:val="00F443DC"/>
    <w:rsid w:val="00F45997"/>
    <w:rsid w:val="00F47649"/>
    <w:rsid w:val="00F47B37"/>
    <w:rsid w:val="00F517C9"/>
    <w:rsid w:val="00F5265D"/>
    <w:rsid w:val="00F53549"/>
    <w:rsid w:val="00F53A5C"/>
    <w:rsid w:val="00F54D23"/>
    <w:rsid w:val="00F55356"/>
    <w:rsid w:val="00F55612"/>
    <w:rsid w:val="00F57157"/>
    <w:rsid w:val="00F57829"/>
    <w:rsid w:val="00F57E42"/>
    <w:rsid w:val="00F57EA9"/>
    <w:rsid w:val="00F6420C"/>
    <w:rsid w:val="00F64A7B"/>
    <w:rsid w:val="00F71943"/>
    <w:rsid w:val="00F71EBB"/>
    <w:rsid w:val="00F73DED"/>
    <w:rsid w:val="00F758B3"/>
    <w:rsid w:val="00F75C2F"/>
    <w:rsid w:val="00F81D04"/>
    <w:rsid w:val="00F8367E"/>
    <w:rsid w:val="00F8430D"/>
    <w:rsid w:val="00F85672"/>
    <w:rsid w:val="00F85BAF"/>
    <w:rsid w:val="00F935D1"/>
    <w:rsid w:val="00F958DA"/>
    <w:rsid w:val="00F96010"/>
    <w:rsid w:val="00F96D1C"/>
    <w:rsid w:val="00FA03F0"/>
    <w:rsid w:val="00FA3020"/>
    <w:rsid w:val="00FA390E"/>
    <w:rsid w:val="00FA68F8"/>
    <w:rsid w:val="00FB062F"/>
    <w:rsid w:val="00FB15F9"/>
    <w:rsid w:val="00FB2AB5"/>
    <w:rsid w:val="00FB30ED"/>
    <w:rsid w:val="00FC5FB8"/>
    <w:rsid w:val="00FC676F"/>
    <w:rsid w:val="00FD1444"/>
    <w:rsid w:val="00FD151A"/>
    <w:rsid w:val="00FD17AB"/>
    <w:rsid w:val="00FD26A2"/>
    <w:rsid w:val="00FD6A1A"/>
    <w:rsid w:val="00FE34CB"/>
    <w:rsid w:val="00FE4620"/>
    <w:rsid w:val="00FE491B"/>
    <w:rsid w:val="00FE4FDF"/>
    <w:rsid w:val="00FE554D"/>
    <w:rsid w:val="00FE7D24"/>
    <w:rsid w:val="00FF1D56"/>
    <w:rsid w:val="00FF3D2D"/>
    <w:rsid w:val="00FF488A"/>
    <w:rsid w:val="018E0664"/>
    <w:rsid w:val="09DB1B4F"/>
    <w:rsid w:val="0AD972F0"/>
    <w:rsid w:val="0DCC0E89"/>
    <w:rsid w:val="10B42771"/>
    <w:rsid w:val="1350665D"/>
    <w:rsid w:val="140D50FC"/>
    <w:rsid w:val="1430544E"/>
    <w:rsid w:val="16E31D4D"/>
    <w:rsid w:val="19D2612D"/>
    <w:rsid w:val="1ACC445A"/>
    <w:rsid w:val="1AE9210E"/>
    <w:rsid w:val="1C8542D4"/>
    <w:rsid w:val="1E1B4124"/>
    <w:rsid w:val="206D04DF"/>
    <w:rsid w:val="222E7C54"/>
    <w:rsid w:val="22D647A3"/>
    <w:rsid w:val="25E15CED"/>
    <w:rsid w:val="2680660B"/>
    <w:rsid w:val="2F2F70CB"/>
    <w:rsid w:val="2F5A1CC9"/>
    <w:rsid w:val="35B76E39"/>
    <w:rsid w:val="362032BC"/>
    <w:rsid w:val="38F01A19"/>
    <w:rsid w:val="3DA31009"/>
    <w:rsid w:val="3E6F5F4E"/>
    <w:rsid w:val="405C494E"/>
    <w:rsid w:val="461E47A9"/>
    <w:rsid w:val="46862707"/>
    <w:rsid w:val="46A94700"/>
    <w:rsid w:val="4738238F"/>
    <w:rsid w:val="482477C5"/>
    <w:rsid w:val="497F0C4F"/>
    <w:rsid w:val="4A843291"/>
    <w:rsid w:val="4B061D24"/>
    <w:rsid w:val="4C5D7664"/>
    <w:rsid w:val="4DD61042"/>
    <w:rsid w:val="501D25A0"/>
    <w:rsid w:val="50B9043C"/>
    <w:rsid w:val="5255092B"/>
    <w:rsid w:val="549A325E"/>
    <w:rsid w:val="5613193A"/>
    <w:rsid w:val="56B7773E"/>
    <w:rsid w:val="575E283B"/>
    <w:rsid w:val="57F439E6"/>
    <w:rsid w:val="59FF01BD"/>
    <w:rsid w:val="5ACC75B3"/>
    <w:rsid w:val="5CB47463"/>
    <w:rsid w:val="5CDB4E3E"/>
    <w:rsid w:val="60DD20B1"/>
    <w:rsid w:val="62A10AB5"/>
    <w:rsid w:val="63BB49EB"/>
    <w:rsid w:val="676A3F8B"/>
    <w:rsid w:val="676E6F01"/>
    <w:rsid w:val="6A710567"/>
    <w:rsid w:val="6B396F8D"/>
    <w:rsid w:val="6CDE357D"/>
    <w:rsid w:val="6DC10B3D"/>
    <w:rsid w:val="6E1E5F23"/>
    <w:rsid w:val="727C4545"/>
    <w:rsid w:val="741C56E8"/>
    <w:rsid w:val="749D1483"/>
    <w:rsid w:val="7C4631F4"/>
    <w:rsid w:val="7DA04D1F"/>
    <w:rsid w:val="7E3B1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unhideWhenUsed="0" w:uiPriority="0" w:semiHidden="0" w:name="Title"/>
    <w:lsdException w:uiPriority="0" w:name="Closing"/>
    <w:lsdException w:uiPriority="0" w:name="Signature"/>
    <w:lsdException w:qFormat="1" w:uiPriority="1" w:name="Default Paragraph Font"/>
    <w:lsdException w:unhideWhenUsed="0"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unhideWhenUsed="0" w:uiPriority="0" w:semiHidden="0" w:name="Subtitle"/>
    <w:lsdException w:uiPriority="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0" w:name="Note Heading"/>
    <w:lsdException w:uiPriority="0" w:name="Body Text 2"/>
    <w:lsdException w:uiPriority="0" w:name="Body Text 3"/>
    <w:lsdException w:unhideWhenUsed="0" w:uiPriority="0" w:semiHidden="0" w:name="Body Text Indent 2"/>
    <w:lsdException w:unhideWhenUsed="0" w:uiPriority="0" w:semiHidden="0" w:name="Body Text Indent 3"/>
    <w:lsdException w:uiPriority="0" w:name="Block Text"/>
    <w:lsdException w:qFormat="1" w:unhideWhenUsed="0"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qFormat="1" w:unhideWhenUsed="0" w:uiPriority="0" w:name="Document Map"/>
    <w:lsdException w:qFormat="1" w:unhideWhenUsed="0" w:uiPriority="0"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4"/>
      <w:lang w:val="en-US" w:eastAsia="zh-CN" w:bidi="ar-SA"/>
    </w:rPr>
  </w:style>
  <w:style w:type="paragraph" w:styleId="2">
    <w:name w:val="heading 1"/>
    <w:basedOn w:val="1"/>
    <w:next w:val="1"/>
    <w:qFormat/>
    <w:uiPriority w:val="0"/>
    <w:pPr>
      <w:keepNext/>
      <w:keepLines/>
      <w:adjustRightInd w:val="0"/>
      <w:snapToGrid w:val="0"/>
      <w:spacing w:afterLines="100" w:line="300" w:lineRule="auto"/>
      <w:ind w:firstLine="200" w:firstLineChars="200"/>
      <w:outlineLvl w:val="0"/>
    </w:pPr>
    <w:rPr>
      <w:b/>
      <w:bCs/>
      <w:sz w:val="52"/>
      <w:szCs w:val="32"/>
    </w:rPr>
  </w:style>
  <w:style w:type="paragraph" w:styleId="3">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1"/>
      </w:numPr>
      <w:tabs>
        <w:tab w:val="left" w:pos="420"/>
      </w:tabs>
      <w:spacing w:before="100" w:after="80" w:line="500" w:lineRule="atLeast"/>
      <w:ind w:firstLine="200" w:firstLineChars="200"/>
      <w:outlineLvl w:val="3"/>
    </w:pPr>
    <w:rPr>
      <w:b/>
      <w:color w:val="5A005A"/>
      <w:sz w:val="28"/>
    </w:rPr>
  </w:style>
  <w:style w:type="paragraph" w:styleId="6">
    <w:name w:val="heading 5"/>
    <w:basedOn w:val="1"/>
    <w:next w:val="1"/>
    <w:qFormat/>
    <w:uiPriority w:val="0"/>
    <w:pPr>
      <w:keepLines/>
      <w:numPr>
        <w:ilvl w:val="4"/>
        <w:numId w:val="1"/>
      </w:numPr>
      <w:tabs>
        <w:tab w:val="left" w:pos="420"/>
      </w:tabs>
      <w:spacing w:before="60" w:after="40" w:line="500" w:lineRule="atLeast"/>
      <w:ind w:firstLine="200" w:firstLineChars="200"/>
      <w:jc w:val="left"/>
      <w:outlineLvl w:val="4"/>
    </w:pPr>
    <w:rPr>
      <w:b/>
      <w:color w:val="700000"/>
    </w:rPr>
  </w:style>
  <w:style w:type="paragraph" w:styleId="7">
    <w:name w:val="heading 6"/>
    <w:basedOn w:val="1"/>
    <w:next w:val="1"/>
    <w:qFormat/>
    <w:uiPriority w:val="0"/>
    <w:pPr>
      <w:keepLines/>
      <w:numPr>
        <w:ilvl w:val="5"/>
        <w:numId w:val="1"/>
      </w:numPr>
      <w:spacing w:before="60" w:after="40" w:line="500" w:lineRule="atLeast"/>
      <w:ind w:firstLine="200" w:firstLineChars="200"/>
      <w:outlineLvl w:val="5"/>
    </w:pPr>
    <w:rPr>
      <w:rFonts w:eastAsia="黑体"/>
    </w:rPr>
  </w:style>
  <w:style w:type="paragraph" w:styleId="8">
    <w:name w:val="heading 7"/>
    <w:basedOn w:val="1"/>
    <w:next w:val="1"/>
    <w:qFormat/>
    <w:uiPriority w:val="0"/>
    <w:pPr>
      <w:numPr>
        <w:ilvl w:val="6"/>
        <w:numId w:val="1"/>
      </w:numPr>
      <w:spacing w:before="40" w:after="20" w:line="312" w:lineRule="auto"/>
      <w:ind w:firstLine="200" w:firstLineChars="200"/>
      <w:outlineLvl w:val="6"/>
    </w:pPr>
    <w:rPr>
      <w:i/>
    </w:rPr>
  </w:style>
  <w:style w:type="paragraph" w:styleId="9">
    <w:name w:val="heading 8"/>
    <w:basedOn w:val="1"/>
    <w:next w:val="1"/>
    <w:qFormat/>
    <w:uiPriority w:val="0"/>
    <w:pPr>
      <w:keepNext/>
      <w:keepLines/>
      <w:numPr>
        <w:ilvl w:val="7"/>
        <w:numId w:val="1"/>
      </w:numPr>
      <w:spacing w:line="0" w:lineRule="atLeast"/>
      <w:ind w:firstLine="200" w:firstLineChars="200"/>
      <w:outlineLvl w:val="7"/>
    </w:pPr>
    <w:rPr>
      <w:rFonts w:eastAsia="@宋体"/>
      <w:i/>
      <w:strike/>
      <w:color w:val="FF0000"/>
      <w:sz w:val="18"/>
    </w:rPr>
  </w:style>
  <w:style w:type="paragraph" w:styleId="10">
    <w:name w:val="heading 9"/>
    <w:basedOn w:val="1"/>
    <w:next w:val="1"/>
    <w:qFormat/>
    <w:uiPriority w:val="0"/>
    <w:pPr>
      <w:keepNext/>
      <w:keepLines/>
      <w:numPr>
        <w:ilvl w:val="8"/>
        <w:numId w:val="1"/>
      </w:numPr>
      <w:spacing w:line="0" w:lineRule="atLeast"/>
      <w:ind w:firstLine="200" w:firstLineChars="200"/>
      <w:outlineLvl w:val="8"/>
    </w:pPr>
    <w:rPr>
      <w:rFonts w:eastAsia="@宋体"/>
      <w:i/>
      <w:strike/>
      <w:color w:val="FF0000"/>
      <w:sz w:val="1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2520" w:leftChars="1200"/>
    </w:pPr>
  </w:style>
  <w:style w:type="paragraph" w:styleId="12">
    <w:name w:val="caption"/>
    <w:basedOn w:val="1"/>
    <w:next w:val="1"/>
    <w:qFormat/>
    <w:uiPriority w:val="0"/>
    <w:pPr>
      <w:spacing w:line="360" w:lineRule="auto"/>
      <w:ind w:firstLine="200" w:firstLineChars="200"/>
    </w:pPr>
    <w:rPr>
      <w:rFonts w:ascii="Cambria" w:hAnsi="Cambria" w:eastAsia="黑体"/>
      <w:sz w:val="20"/>
    </w:rPr>
  </w:style>
  <w:style w:type="paragraph" w:styleId="13">
    <w:name w:val="Document Map"/>
    <w:basedOn w:val="1"/>
    <w:semiHidden/>
    <w:qFormat/>
    <w:uiPriority w:val="0"/>
    <w:pPr>
      <w:shd w:val="clear" w:color="auto" w:fill="000080"/>
    </w:pPr>
  </w:style>
  <w:style w:type="paragraph" w:styleId="14">
    <w:name w:val="annotation text"/>
    <w:basedOn w:val="1"/>
    <w:qFormat/>
    <w:uiPriority w:val="0"/>
  </w:style>
  <w:style w:type="paragraph" w:styleId="15">
    <w:name w:val="toc 5"/>
    <w:basedOn w:val="1"/>
    <w:next w:val="1"/>
    <w:semiHidden/>
    <w:qFormat/>
    <w:uiPriority w:val="0"/>
    <w:pPr>
      <w:ind w:left="1680" w:leftChars="800"/>
    </w:pPr>
  </w:style>
  <w:style w:type="paragraph" w:styleId="16">
    <w:name w:val="toc 3"/>
    <w:basedOn w:val="1"/>
    <w:next w:val="1"/>
    <w:qFormat/>
    <w:uiPriority w:val="39"/>
    <w:pPr>
      <w:spacing w:line="360" w:lineRule="auto"/>
      <w:ind w:left="840" w:leftChars="400"/>
    </w:pPr>
    <w:rPr>
      <w:rFonts w:ascii="Times New Roman" w:hAnsi="Times New Roman" w:eastAsia="宋体"/>
    </w:rPr>
  </w:style>
  <w:style w:type="paragraph" w:styleId="17">
    <w:name w:val="Plain Text"/>
    <w:basedOn w:val="1"/>
    <w:qFormat/>
    <w:uiPriority w:val="0"/>
    <w:rPr>
      <w:rFonts w:hint="eastAsia" w:ascii="宋体" w:hAnsi="Courier New" w:cs="Courier New"/>
      <w:szCs w:val="21"/>
    </w:rPr>
  </w:style>
  <w:style w:type="paragraph" w:styleId="18">
    <w:name w:val="toc 8"/>
    <w:basedOn w:val="1"/>
    <w:next w:val="1"/>
    <w:semiHidden/>
    <w:qFormat/>
    <w:uiPriority w:val="0"/>
    <w:pPr>
      <w:ind w:left="2940" w:leftChars="1400"/>
    </w:pPr>
  </w:style>
  <w:style w:type="paragraph" w:styleId="19">
    <w:name w:val="footer"/>
    <w:basedOn w:val="1"/>
    <w:link w:val="78"/>
    <w:qFormat/>
    <w:uiPriority w:val="99"/>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line="360" w:lineRule="auto"/>
    </w:pPr>
    <w:rPr>
      <w:rFonts w:ascii="Times New Roman" w:hAnsi="Times New Roman" w:eastAsia="宋体"/>
    </w:rPr>
  </w:style>
  <w:style w:type="paragraph" w:styleId="22">
    <w:name w:val="toc 4"/>
    <w:basedOn w:val="1"/>
    <w:next w:val="1"/>
    <w:semiHidden/>
    <w:qFormat/>
    <w:uiPriority w:val="0"/>
    <w:pPr>
      <w:ind w:left="1260" w:leftChars="600"/>
    </w:pPr>
  </w:style>
  <w:style w:type="paragraph" w:styleId="23">
    <w:name w:val="toc 6"/>
    <w:basedOn w:val="1"/>
    <w:next w:val="1"/>
    <w:semiHidden/>
    <w:qFormat/>
    <w:uiPriority w:val="0"/>
    <w:pPr>
      <w:ind w:left="2100" w:leftChars="1000"/>
    </w:pPr>
  </w:style>
  <w:style w:type="paragraph" w:styleId="24">
    <w:name w:val="toc 2"/>
    <w:basedOn w:val="1"/>
    <w:next w:val="1"/>
    <w:qFormat/>
    <w:uiPriority w:val="39"/>
    <w:pPr>
      <w:spacing w:line="360" w:lineRule="auto"/>
      <w:ind w:left="420" w:leftChars="200"/>
    </w:pPr>
    <w:rPr>
      <w:rFonts w:ascii="Times New Roman" w:hAnsi="Times New Roman" w:eastAsia="宋体"/>
    </w:rPr>
  </w:style>
  <w:style w:type="paragraph" w:styleId="25">
    <w:name w:val="toc 9"/>
    <w:basedOn w:val="1"/>
    <w:next w:val="1"/>
    <w:semiHidden/>
    <w:qFormat/>
    <w:uiPriority w:val="0"/>
    <w:pPr>
      <w:ind w:left="3360" w:leftChars="16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rPr>
      <w:b/>
      <w:bCs/>
    </w:rPr>
  </w:style>
  <w:style w:type="character" w:styleId="30">
    <w:name w:val="page number"/>
    <w:basedOn w:val="28"/>
    <w:qFormat/>
    <w:uiPriority w:val="0"/>
  </w:style>
  <w:style w:type="character" w:styleId="31">
    <w:name w:val="Hyperlink"/>
    <w:basedOn w:val="28"/>
    <w:qFormat/>
    <w:uiPriority w:val="99"/>
    <w:rPr>
      <w:color w:val="0000FF"/>
      <w:u w:val="single"/>
    </w:rPr>
  </w:style>
  <w:style w:type="paragraph" w:customStyle="1" w:styleId="32">
    <w:name w:val="闽创报告正文"/>
    <w:basedOn w:val="33"/>
    <w:autoRedefine/>
    <w:qFormat/>
    <w:uiPriority w:val="0"/>
    <w:pPr>
      <w:tabs>
        <w:tab w:val="left" w:pos="0"/>
      </w:tabs>
      <w:ind w:firstLine="200"/>
    </w:pPr>
    <w:rPr>
      <w:color w:val="000000"/>
      <w:szCs w:val="20"/>
    </w:rPr>
  </w:style>
  <w:style w:type="paragraph" w:customStyle="1" w:styleId="33">
    <w:name w:val="0正文"/>
    <w:unhideWhenUsed/>
    <w:qFormat/>
    <w:uiPriority w:val="0"/>
    <w:pPr>
      <w:widowControl w:val="0"/>
      <w:spacing w:line="360" w:lineRule="auto"/>
      <w:ind w:firstLine="964" w:firstLineChars="200"/>
    </w:pPr>
    <w:rPr>
      <w:rFonts w:ascii="Times New Roman" w:hAnsi="Times New Roman" w:eastAsia="宋体" w:cs="Times New Roman"/>
      <w:sz w:val="24"/>
      <w:szCs w:val="22"/>
      <w:lang w:val="en-US" w:eastAsia="zh-CN" w:bidi="ar-SA"/>
    </w:rPr>
  </w:style>
  <w:style w:type="paragraph" w:customStyle="1" w:styleId="34">
    <w:name w:val="1标题-书（锐）"/>
    <w:basedOn w:val="2"/>
    <w:qFormat/>
    <w:locked/>
    <w:uiPriority w:val="0"/>
    <w:pPr>
      <w:numPr>
        <w:ilvl w:val="0"/>
        <w:numId w:val="2"/>
      </w:numPr>
      <w:tabs>
        <w:tab w:val="left" w:pos="113"/>
      </w:tabs>
      <w:spacing w:beforeLines="0" w:afterLines="0"/>
      <w:ind w:left="0" w:firstLine="0"/>
    </w:pPr>
    <w:rPr>
      <w:rFonts w:ascii="Times New Roman" w:hAnsi="Times New Roman" w:eastAsia="宋体" w:cs="Times New Roman"/>
      <w:kern w:val="0"/>
      <w:sz w:val="36"/>
      <w:szCs w:val="24"/>
    </w:rPr>
  </w:style>
  <w:style w:type="paragraph" w:customStyle="1" w:styleId="35">
    <w:name w:val="2标题-书（锐）"/>
    <w:basedOn w:val="3"/>
    <w:next w:val="1"/>
    <w:qFormat/>
    <w:locked/>
    <w:uiPriority w:val="0"/>
    <w:pPr>
      <w:numPr>
        <w:ilvl w:val="1"/>
        <w:numId w:val="3"/>
      </w:numPr>
      <w:spacing w:before="50" w:beforeLines="50" w:after="50" w:afterLines="50" w:line="360" w:lineRule="auto"/>
      <w:ind w:left="0" w:firstLine="0"/>
    </w:pPr>
    <w:rPr>
      <w:rFonts w:ascii="Times New Roman" w:hAnsi="Times New Roman" w:eastAsia="宋体" w:cs="Times New Roman"/>
      <w:color w:val="0070C0"/>
      <w:sz w:val="30"/>
    </w:rPr>
  </w:style>
  <w:style w:type="paragraph" w:customStyle="1" w:styleId="36">
    <w:name w:val="3标题-书（锐）"/>
    <w:basedOn w:val="4"/>
    <w:next w:val="37"/>
    <w:qFormat/>
    <w:locked/>
    <w:uiPriority w:val="0"/>
    <w:pPr>
      <w:numPr>
        <w:ilvl w:val="2"/>
        <w:numId w:val="3"/>
      </w:numPr>
      <w:spacing w:before="120" w:after="50" w:afterLines="50" w:line="360" w:lineRule="auto"/>
      <w:ind w:left="0" w:firstLine="0"/>
    </w:pPr>
    <w:rPr>
      <w:rFonts w:ascii="Times New Roman" w:hAnsi="Times New Roman" w:eastAsia="宋体" w:cs="Times New Roman"/>
      <w:color w:val="0070C0"/>
      <w:sz w:val="28"/>
      <w:szCs w:val="32"/>
    </w:rPr>
  </w:style>
  <w:style w:type="paragraph" w:customStyle="1" w:styleId="37">
    <w:name w:val="7正文（锐）"/>
    <w:basedOn w:val="1"/>
    <w:qFormat/>
    <w:uiPriority w:val="0"/>
    <w:pPr>
      <w:topLinePunct/>
      <w:spacing w:line="360" w:lineRule="auto"/>
      <w:ind w:firstLine="480" w:firstLineChars="200"/>
    </w:pPr>
    <w:rPr>
      <w:rFonts w:ascii="Times New Roman" w:hAnsi="Times New Roman" w:eastAsia="宋体" w:cs="Times New Roman"/>
      <w:sz w:val="24"/>
      <w:szCs w:val="24"/>
    </w:rPr>
  </w:style>
  <w:style w:type="paragraph" w:customStyle="1" w:styleId="38">
    <w:name w:val="5表头（锐）"/>
    <w:basedOn w:val="5"/>
    <w:next w:val="1"/>
    <w:qFormat/>
    <w:locked/>
    <w:uiPriority w:val="0"/>
    <w:pPr>
      <w:keepNext w:val="0"/>
      <w:numPr>
        <w:numId w:val="0"/>
      </w:numPr>
      <w:tabs>
        <w:tab w:val="clear" w:pos="0"/>
      </w:tabs>
      <w:spacing w:before="20" w:after="20" w:line="360" w:lineRule="auto"/>
      <w:jc w:val="center"/>
    </w:pPr>
    <w:rPr>
      <w:rFonts w:ascii="Times New Roman" w:hAnsi="Times New Roman" w:eastAsia="宋体"/>
      <w:bCs/>
      <w:color w:val="auto"/>
      <w:sz w:val="24"/>
      <w:szCs w:val="24"/>
    </w:rPr>
  </w:style>
  <w:style w:type="paragraph" w:customStyle="1" w:styleId="39">
    <w:name w:val="6表文（锐）"/>
    <w:basedOn w:val="37"/>
    <w:qFormat/>
    <w:uiPriority w:val="0"/>
    <w:pPr>
      <w:topLinePunct/>
      <w:spacing w:line="240" w:lineRule="auto"/>
      <w:ind w:firstLine="0" w:firstLineChars="0"/>
      <w:jc w:val="center"/>
    </w:pPr>
    <w:rPr>
      <w:rFonts w:ascii="Times New Roman" w:hAnsi="Times New Roman" w:eastAsia="宋体" w:cs="Times New Roman"/>
      <w:color w:val="FF0000"/>
      <w:sz w:val="21"/>
      <w:szCs w:val="21"/>
    </w:rPr>
  </w:style>
  <w:style w:type="paragraph" w:customStyle="1" w:styleId="40">
    <w:name w:val="2标题-表（锐）"/>
    <w:basedOn w:val="3"/>
    <w:next w:val="37"/>
    <w:qFormat/>
    <w:uiPriority w:val="0"/>
    <w:pPr>
      <w:numPr>
        <w:ilvl w:val="0"/>
        <w:numId w:val="4"/>
      </w:numPr>
      <w:tabs>
        <w:tab w:val="left" w:pos="0"/>
      </w:tabs>
      <w:overflowPunct w:val="0"/>
      <w:snapToGrid w:val="0"/>
      <w:spacing w:before="50" w:beforeLines="50" w:after="50" w:afterLines="50" w:line="360" w:lineRule="auto"/>
      <w:ind w:left="0" w:firstLine="0"/>
      <w:jc w:val="left"/>
      <w:outlineLvl w:val="1"/>
    </w:pPr>
    <w:rPr>
      <w:rFonts w:ascii="Times New Roman" w:hAnsi="Times New Roman" w:eastAsia="宋体" w:cs="Times New Roman"/>
      <w:color w:val="000000"/>
      <w:kern w:val="44"/>
      <w:sz w:val="28"/>
      <w:szCs w:val="30"/>
    </w:rPr>
  </w:style>
  <w:style w:type="paragraph" w:customStyle="1" w:styleId="41">
    <w:name w:val="1标题-表（锐）"/>
    <w:basedOn w:val="2"/>
    <w:next w:val="1"/>
    <w:qFormat/>
    <w:uiPriority w:val="0"/>
    <w:pPr>
      <w:keepNext/>
      <w:numPr>
        <w:ilvl w:val="0"/>
        <w:numId w:val="5"/>
      </w:numPr>
      <w:tabs>
        <w:tab w:val="left" w:pos="0"/>
      </w:tabs>
      <w:overflowPunct w:val="0"/>
      <w:snapToGrid w:val="0"/>
      <w:spacing w:before="100" w:beforeLines="100" w:after="50" w:afterLines="50" w:line="360" w:lineRule="auto"/>
      <w:ind w:left="432" w:hanging="432"/>
      <w:jc w:val="center"/>
      <w:outlineLvl w:val="0"/>
    </w:pPr>
    <w:rPr>
      <w:rFonts w:hint="eastAsia" w:ascii="Times New Roman" w:hAnsi="Times New Roman" w:eastAsia="宋体" w:cs="Times New Roman"/>
    </w:rPr>
  </w:style>
  <w:style w:type="paragraph" w:customStyle="1" w:styleId="42">
    <w:name w:val="1标题-常（锐）"/>
    <w:basedOn w:val="37"/>
    <w:next w:val="37"/>
    <w:qFormat/>
    <w:uiPriority w:val="0"/>
    <w:pPr>
      <w:keepNext/>
      <w:keepLines/>
      <w:numPr>
        <w:ilvl w:val="0"/>
        <w:numId w:val="3"/>
      </w:numPr>
      <w:tabs>
        <w:tab w:val="left" w:pos="113"/>
      </w:tabs>
      <w:adjustRightInd w:val="0"/>
      <w:snapToGrid w:val="0"/>
      <w:spacing w:before="50" w:beforeLines="50" w:after="50" w:afterLines="50" w:line="360" w:lineRule="auto"/>
      <w:ind w:firstLine="0" w:firstLineChars="0"/>
      <w:jc w:val="left"/>
      <w:outlineLvl w:val="0"/>
    </w:pPr>
    <w:rPr>
      <w:rFonts w:ascii="Times New Roman" w:hAnsi="Times New Roman" w:eastAsia="宋体"/>
      <w:b/>
      <w:bCs/>
      <w:sz w:val="36"/>
    </w:rPr>
  </w:style>
  <w:style w:type="paragraph" w:customStyle="1" w:styleId="43">
    <w:name w:val="表头"/>
    <w:basedOn w:val="1"/>
    <w:qFormat/>
    <w:uiPriority w:val="0"/>
    <w:pPr>
      <w:jc w:val="center"/>
    </w:pPr>
    <w:rPr>
      <w:b/>
    </w:rPr>
  </w:style>
  <w:style w:type="character" w:customStyle="1" w:styleId="44">
    <w:name w:val="样式 样式 首行缩进:  2 字符 + Char"/>
    <w:qFormat/>
    <w:uiPriority w:val="0"/>
    <w:rPr>
      <w:rFonts w:eastAsia="宋体" w:cs="宋体"/>
      <w:kern w:val="2"/>
      <w:sz w:val="24"/>
      <w:lang w:val="en-US" w:eastAsia="zh-CN" w:bidi="ar-SA"/>
    </w:rPr>
  </w:style>
  <w:style w:type="paragraph" w:customStyle="1" w:styleId="45">
    <w:name w:val="5文章(治)"/>
    <w:basedOn w:val="1"/>
    <w:link w:val="75"/>
    <w:qFormat/>
    <w:uiPriority w:val="0"/>
    <w:pPr>
      <w:spacing w:line="360" w:lineRule="auto"/>
      <w:ind w:firstLine="480" w:firstLineChars="200"/>
    </w:pPr>
    <w:rPr>
      <w:rFonts w:ascii="Arial" w:hAnsi="Arial" w:cs="Tahoma"/>
      <w:szCs w:val="21"/>
    </w:rPr>
  </w:style>
  <w:style w:type="paragraph" w:customStyle="1" w:styleId="46">
    <w:name w:val="表格"/>
    <w:basedOn w:val="1"/>
    <w:qFormat/>
    <w:uiPriority w:val="0"/>
    <w:pPr>
      <w:adjustRightInd w:val="0"/>
      <w:snapToGrid w:val="0"/>
      <w:jc w:val="center"/>
    </w:pPr>
    <w:rPr>
      <w:spacing w:val="4"/>
      <w:sz w:val="18"/>
    </w:rPr>
  </w:style>
  <w:style w:type="paragraph" w:customStyle="1" w:styleId="47">
    <w:name w:val="样式 标题 1Part一、 + Times New Roman 居中"/>
    <w:basedOn w:val="2"/>
    <w:qFormat/>
    <w:uiPriority w:val="0"/>
    <w:pPr>
      <w:keepNext w:val="0"/>
      <w:keepLines w:val="0"/>
      <w:autoSpaceDE w:val="0"/>
      <w:autoSpaceDN w:val="0"/>
      <w:spacing w:beforeLines="100" w:afterLines="50" w:line="360" w:lineRule="auto"/>
      <w:ind w:firstLine="0" w:firstLineChars="0"/>
      <w:jc w:val="center"/>
    </w:pPr>
    <w:rPr>
      <w:rFonts w:eastAsia="黑体"/>
      <w:caps/>
      <w:kern w:val="16"/>
      <w:sz w:val="36"/>
      <w:szCs w:val="20"/>
    </w:rPr>
  </w:style>
  <w:style w:type="paragraph" w:customStyle="1" w:styleId="48">
    <w:name w:val="样式 样式 标题 2节标题 1.11.1标题2b2标题2标题 2霍H2Chapter Titlek标题 2SeHe... + 段..."/>
    <w:basedOn w:val="49"/>
    <w:qFormat/>
    <w:uiPriority w:val="0"/>
    <w:pPr>
      <w:spacing w:line="360" w:lineRule="auto"/>
    </w:pPr>
    <w:rPr>
      <w:b/>
    </w:rPr>
  </w:style>
  <w:style w:type="paragraph" w:customStyle="1" w:styleId="49">
    <w:name w:val="样式 标题 2节标题 1.11.1标题2b2标题2标题 2霍H2Chapter Titlek标题 2SeHe..."/>
    <w:basedOn w:val="3"/>
    <w:qFormat/>
    <w:uiPriority w:val="0"/>
    <w:pPr>
      <w:adjustRightInd w:val="0"/>
      <w:snapToGrid w:val="0"/>
      <w:spacing w:beforeLines="50" w:afterLines="50" w:line="460" w:lineRule="exact"/>
      <w:jc w:val="left"/>
    </w:pPr>
    <w:rPr>
      <w:rFonts w:ascii="黑体" w:hAnsi="Times New Roman"/>
      <w:b w:val="0"/>
      <w:bCs w:val="0"/>
      <w:color w:val="000000"/>
      <w:sz w:val="28"/>
      <w:szCs w:val="28"/>
    </w:rPr>
  </w:style>
  <w:style w:type="paragraph" w:customStyle="1" w:styleId="50">
    <w:name w:val="样式 样式 标题 3. (1.1.1)标题 3 Char Char Char Char标题 3 Char Char Char C...2"/>
    <w:basedOn w:val="51"/>
    <w:qFormat/>
    <w:uiPriority w:val="0"/>
    <w:pPr>
      <w:spacing w:before="156" w:after="156"/>
    </w:pPr>
    <w:rPr>
      <w:color w:val="000000"/>
    </w:rPr>
  </w:style>
  <w:style w:type="paragraph" w:customStyle="1" w:styleId="51">
    <w:name w:val="样式 标题 3. (1.1.1)标题 3 Char Char Char Char标题 3 Char Char Char C...1"/>
    <w:basedOn w:val="4"/>
    <w:qFormat/>
    <w:uiPriority w:val="0"/>
    <w:pPr>
      <w:autoSpaceDE w:val="0"/>
      <w:autoSpaceDN w:val="0"/>
      <w:adjustRightInd w:val="0"/>
      <w:snapToGrid w:val="0"/>
      <w:spacing w:beforeLines="50" w:afterLines="50" w:line="360" w:lineRule="auto"/>
    </w:pPr>
    <w:rPr>
      <w:sz w:val="24"/>
      <w:szCs w:val="20"/>
    </w:rPr>
  </w:style>
  <w:style w:type="character" w:customStyle="1" w:styleId="52">
    <w:name w:val="样式 (符号) 宋体"/>
    <w:qFormat/>
    <w:uiPriority w:val="0"/>
    <w:rPr>
      <w:rFonts w:eastAsia="宋体"/>
      <w:sz w:val="24"/>
    </w:rPr>
  </w:style>
  <w:style w:type="paragraph" w:customStyle="1" w:styleId="53">
    <w:name w:val="样式 宋体 小四 黑色 首行缩进:  2字符 行距: 1.5 倍行距1"/>
    <w:basedOn w:val="1"/>
    <w:qFormat/>
    <w:uiPriority w:val="0"/>
    <w:pPr>
      <w:autoSpaceDE w:val="0"/>
      <w:autoSpaceDN w:val="0"/>
      <w:adjustRightInd w:val="0"/>
      <w:snapToGrid w:val="0"/>
      <w:ind w:left="-106" w:leftChars="-44" w:right="-77" w:rightChars="-32"/>
      <w:jc w:val="center"/>
    </w:pPr>
    <w:rPr>
      <w:rFonts w:ascii="黑体" w:eastAsia="黑体"/>
      <w:b/>
    </w:rPr>
  </w:style>
  <w:style w:type="character" w:customStyle="1" w:styleId="54">
    <w:name w:val="样式 首行缩进:  2 字符 Char"/>
    <w:qFormat/>
    <w:uiPriority w:val="0"/>
    <w:rPr>
      <w:rFonts w:eastAsia="宋体" w:cs="宋体"/>
      <w:kern w:val="2"/>
      <w:sz w:val="24"/>
      <w:lang w:val="en-US" w:eastAsia="zh-CN" w:bidi="ar-SA"/>
    </w:rPr>
  </w:style>
  <w:style w:type="paragraph" w:customStyle="1" w:styleId="55">
    <w:name w:val="样式 黑体 三号 段前: 7.8 磅 行距: 1.5 倍行距"/>
    <w:basedOn w:val="2"/>
    <w:next w:val="1"/>
    <w:qFormat/>
    <w:uiPriority w:val="0"/>
    <w:pPr>
      <w:adjustRightInd/>
      <w:snapToGrid/>
      <w:spacing w:before="156" w:afterLines="0" w:line="360" w:lineRule="auto"/>
      <w:ind w:firstLine="0" w:firstLineChars="0"/>
    </w:pPr>
    <w:rPr>
      <w:rFonts w:ascii="黑体" w:hAnsi="宋体" w:eastAsia="黑体"/>
      <w:kern w:val="44"/>
      <w:sz w:val="32"/>
    </w:rPr>
  </w:style>
  <w:style w:type="paragraph" w:customStyle="1" w:styleId="56">
    <w:name w:val="样式 样式 黑体 三号 段前: 7.8 磅 行距: 1.5 倍行距 + 非加粗"/>
    <w:basedOn w:val="3"/>
    <w:qFormat/>
    <w:uiPriority w:val="0"/>
    <w:rPr>
      <w:b w:val="0"/>
      <w:bCs w:val="0"/>
    </w:rPr>
  </w:style>
  <w:style w:type="paragraph" w:customStyle="1" w:styleId="57">
    <w:name w:val="样式 样式 黑体 三号 段前: 7.8 磅 行距: 1.5 倍行距 + 小三 非加粗"/>
    <w:basedOn w:val="1"/>
    <w:qFormat/>
    <w:uiPriority w:val="0"/>
    <w:rPr>
      <w:b/>
      <w:bCs/>
      <w:sz w:val="30"/>
    </w:rPr>
  </w:style>
  <w:style w:type="paragraph" w:customStyle="1" w:styleId="58">
    <w:name w:val="论证正文"/>
    <w:basedOn w:val="1"/>
    <w:qFormat/>
    <w:uiPriority w:val="0"/>
    <w:pPr>
      <w:spacing w:beforeLines="50" w:line="360" w:lineRule="auto"/>
    </w:pPr>
    <w:rPr>
      <w:szCs w:val="21"/>
    </w:rPr>
  </w:style>
  <w:style w:type="paragraph" w:customStyle="1" w:styleId="59">
    <w:name w:val="样式 论证正文 + (符号) 宋体 段前: 0.5 行"/>
    <w:basedOn w:val="58"/>
    <w:qFormat/>
    <w:uiPriority w:val="0"/>
    <w:pPr>
      <w:ind w:firstLine="200" w:firstLineChars="200"/>
    </w:pPr>
    <w:rPr>
      <w:rFonts w:hAnsi="宋体"/>
      <w:szCs w:val="20"/>
    </w:rPr>
  </w:style>
  <w:style w:type="paragraph" w:customStyle="1" w:styleId="60">
    <w:name w:val="样式 首行缩进:  2 字符1"/>
    <w:basedOn w:val="1"/>
    <w:qFormat/>
    <w:uiPriority w:val="0"/>
    <w:pPr>
      <w:spacing w:line="360" w:lineRule="auto"/>
      <w:ind w:firstLine="200" w:firstLineChars="200"/>
    </w:pPr>
    <w:rPr>
      <w:rFonts w:ascii="仿宋_GB2312" w:eastAsia="仿宋_GB2312"/>
      <w:sz w:val="30"/>
    </w:rPr>
  </w:style>
  <w:style w:type="paragraph" w:customStyle="1" w:styleId="61">
    <w:name w:val="样式 宋体 首行缩进:  0.99 厘米 行距: 1.5 倍行距"/>
    <w:basedOn w:val="1"/>
    <w:qFormat/>
    <w:uiPriority w:val="0"/>
    <w:pPr>
      <w:widowControl/>
      <w:spacing w:line="360" w:lineRule="auto"/>
      <w:ind w:firstLine="560"/>
      <w:jc w:val="left"/>
    </w:pPr>
  </w:style>
  <w:style w:type="paragraph" w:customStyle="1" w:styleId="62">
    <w:name w:val="样式 正文缩进正文（首行缩进两字） + 宋体 左侧:  1 字符 首行缩进:  2 字符"/>
    <w:qFormat/>
    <w:uiPriority w:val="0"/>
    <w:pPr>
      <w:widowControl w:val="0"/>
      <w:adjustRightInd/>
      <w:ind w:left="100" w:leftChars="100" w:firstLine="200"/>
      <w:jc w:val="both"/>
      <w:textAlignment w:val="auto"/>
    </w:pPr>
    <w:rPr>
      <w:rFonts w:ascii="宋体" w:hAnsi="Times New Roman" w:eastAsia="宋体" w:cs="Times New Roman"/>
      <w:kern w:val="2"/>
      <w:sz w:val="24"/>
      <w:szCs w:val="24"/>
      <w:lang w:val="en-US"/>
    </w:rPr>
  </w:style>
  <w:style w:type="paragraph" w:customStyle="1" w:styleId="63">
    <w:name w:val="表标题"/>
    <w:basedOn w:val="1"/>
    <w:qFormat/>
    <w:uiPriority w:val="0"/>
    <w:pPr>
      <w:spacing w:line="560" w:lineRule="exact"/>
      <w:jc w:val="center"/>
    </w:pPr>
    <w:rPr>
      <w:rFonts w:eastAsia="方正大标宋简体"/>
      <w:sz w:val="30"/>
    </w:rPr>
  </w:style>
  <w:style w:type="paragraph" w:customStyle="1" w:styleId="64">
    <w:name w:val="样式 论证标题2 + 段前: 0.5 行1"/>
    <w:basedOn w:val="1"/>
    <w:qFormat/>
    <w:uiPriority w:val="0"/>
    <w:pPr>
      <w:spacing w:beforeLines="50" w:line="360" w:lineRule="auto"/>
    </w:pPr>
    <w:rPr>
      <w:rFonts w:eastAsia="黑体"/>
      <w:sz w:val="32"/>
    </w:rPr>
  </w:style>
  <w:style w:type="paragraph" w:customStyle="1" w:styleId="65">
    <w:name w:val="样式 论证标题2 + 段前: 0.5 行"/>
    <w:basedOn w:val="1"/>
    <w:qFormat/>
    <w:uiPriority w:val="0"/>
    <w:pPr>
      <w:spacing w:beforeLines="50" w:line="360" w:lineRule="auto"/>
    </w:pPr>
    <w:rPr>
      <w:rFonts w:eastAsia="黑体"/>
      <w:sz w:val="32"/>
    </w:rPr>
  </w:style>
  <w:style w:type="paragraph" w:customStyle="1" w:styleId="66">
    <w:name w:val="图名"/>
    <w:basedOn w:val="1"/>
    <w:qFormat/>
    <w:uiPriority w:val="0"/>
    <w:rPr>
      <w:rFonts w:eastAsia="黑体"/>
      <w:color w:val="000000"/>
    </w:rPr>
  </w:style>
  <w:style w:type="paragraph" w:customStyle="1" w:styleId="67">
    <w:name w:val="1标题1级"/>
    <w:basedOn w:val="1"/>
    <w:qFormat/>
    <w:uiPriority w:val="0"/>
    <w:pPr>
      <w:keepNext/>
      <w:snapToGrid w:val="0"/>
      <w:spacing w:line="420" w:lineRule="auto"/>
      <w:outlineLvl w:val="0"/>
    </w:pPr>
    <w:rPr>
      <w:rFonts w:eastAsia="黑体"/>
      <w:b/>
      <w:sz w:val="32"/>
    </w:rPr>
  </w:style>
  <w:style w:type="paragraph" w:customStyle="1" w:styleId="68">
    <w:name w:val="样式 T正文 + 黑色"/>
    <w:basedOn w:val="1"/>
    <w:qFormat/>
    <w:uiPriority w:val="0"/>
    <w:pPr>
      <w:adjustRightInd w:val="0"/>
      <w:snapToGrid w:val="0"/>
      <w:spacing w:line="360" w:lineRule="auto"/>
    </w:pPr>
    <w:rPr>
      <w:rFonts w:ascii="宋体" w:hAnsi="宋体"/>
    </w:rPr>
  </w:style>
  <w:style w:type="paragraph" w:customStyle="1" w:styleId="69">
    <w:name w:val="样式 Title.1 + 段前: 1.5 行 段后: 1.5 行"/>
    <w:qFormat/>
    <w:uiPriority w:val="0"/>
    <w:pPr>
      <w:spacing w:before="360" w:after="360"/>
    </w:pPr>
    <w:rPr>
      <w:rFonts w:ascii="Times New Roman" w:hAnsi="Times New Roman" w:eastAsia="宋体" w:cs="宋体"/>
      <w:bCs/>
    </w:rPr>
  </w:style>
  <w:style w:type="paragraph" w:customStyle="1" w:styleId="70">
    <w:name w:val="一级"/>
    <w:link w:val="71"/>
    <w:qFormat/>
    <w:uiPriority w:val="0"/>
    <w:pPr>
      <w:spacing w:beforeLines="200" w:afterLines="200"/>
    </w:pPr>
    <w:rPr>
      <w:rFonts w:ascii="Times New Roman" w:hAnsi="Times New Roman" w:eastAsia="宋体" w:cs="Times New Roman"/>
      <w:sz w:val="36"/>
    </w:rPr>
  </w:style>
  <w:style w:type="character" w:customStyle="1" w:styleId="71">
    <w:name w:val="一级 Char"/>
    <w:link w:val="70"/>
    <w:qFormat/>
    <w:uiPriority w:val="0"/>
    <w:rPr>
      <w:rFonts w:eastAsia="黑体"/>
      <w:sz w:val="36"/>
    </w:rPr>
  </w:style>
  <w:style w:type="paragraph" w:customStyle="1" w:styleId="72">
    <w:name w:val="图表标题"/>
    <w:link w:val="73"/>
    <w:qFormat/>
    <w:uiPriority w:val="0"/>
    <w:pPr>
      <w:ind w:firstLine="0" w:firstLineChars="0"/>
      <w:jc w:val="center"/>
    </w:pPr>
    <w:rPr>
      <w:rFonts w:ascii="Times New Roman" w:hAnsi="Times New Roman" w:eastAsia="宋体" w:cs="Times New Roman"/>
      <w:b/>
    </w:rPr>
  </w:style>
  <w:style w:type="character" w:customStyle="1" w:styleId="73">
    <w:name w:val="图表标题 Char"/>
    <w:link w:val="72"/>
    <w:qFormat/>
    <w:uiPriority w:val="0"/>
    <w:rPr>
      <w:b/>
      <w:sz w:val="24"/>
    </w:rPr>
  </w:style>
  <w:style w:type="paragraph" w:customStyle="1" w:styleId="74">
    <w:name w:val="新正文"/>
    <w:basedOn w:val="1"/>
    <w:qFormat/>
    <w:uiPriority w:val="0"/>
    <w:pPr>
      <w:spacing w:line="360" w:lineRule="auto"/>
      <w:ind w:firstLine="200"/>
    </w:pPr>
    <w:rPr>
      <w:kern w:val="2"/>
    </w:rPr>
  </w:style>
  <w:style w:type="character" w:customStyle="1" w:styleId="75">
    <w:name w:val="5文章(治) Char"/>
    <w:link w:val="45"/>
    <w:qFormat/>
    <w:uiPriority w:val="0"/>
    <w:rPr>
      <w:rFonts w:ascii="Arial" w:hAnsi="Arial" w:cs="Tahoma"/>
      <w:szCs w:val="21"/>
    </w:rPr>
  </w:style>
  <w:style w:type="character" w:customStyle="1" w:styleId="76">
    <w:name w:val="5文章 Char"/>
    <w:link w:val="77"/>
    <w:qFormat/>
    <w:uiPriority w:val="0"/>
    <w:rPr>
      <w:kern w:val="2"/>
      <w:szCs w:val="24"/>
    </w:rPr>
  </w:style>
  <w:style w:type="paragraph" w:customStyle="1" w:styleId="77">
    <w:name w:val="5文章"/>
    <w:basedOn w:val="1"/>
    <w:link w:val="76"/>
    <w:qFormat/>
    <w:uiPriority w:val="0"/>
    <w:pPr>
      <w:spacing w:line="360" w:lineRule="auto"/>
      <w:ind w:firstLine="200" w:firstLineChars="200"/>
    </w:pPr>
    <w:rPr>
      <w:kern w:val="2"/>
      <w:szCs w:val="24"/>
    </w:rPr>
  </w:style>
  <w:style w:type="character" w:customStyle="1" w:styleId="78">
    <w:name w:val="页脚 字符"/>
    <w:basedOn w:val="28"/>
    <w:link w:val="19"/>
    <w:qFormat/>
    <w:uiPriority w:val="99"/>
    <w:rPr>
      <w:sz w:val="18"/>
      <w:szCs w:val="18"/>
    </w:rPr>
  </w:style>
  <w:style w:type="paragraph" w:customStyle="1" w:styleId="79">
    <w:name w:val="正文（小四）"/>
    <w:qFormat/>
    <w:uiPriority w:val="0"/>
    <w:pPr>
      <w:spacing w:line="360" w:lineRule="auto"/>
      <w:ind w:firstLine="200" w:firstLineChars="200"/>
      <w:jc w:val="both"/>
    </w:pPr>
    <w:rPr>
      <w:rFonts w:ascii="Times New Roman" w:hAnsi="Times New Roman" w:eastAsia="宋体" w:cs="Times New Roman"/>
      <w:bCs/>
      <w:kern w:val="2"/>
      <w:sz w:val="24"/>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电脑公司增强版</Company>
  <Pages>11</Pages>
  <Words>3187</Words>
  <Characters>3490</Characters>
  <Lines>31</Lines>
  <Paragraphs>8</Paragraphs>
  <TotalTime>30</TotalTime>
  <ScaleCrop>false</ScaleCrop>
  <LinksUpToDate>false</LinksUpToDate>
  <CharactersWithSpaces>3536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2017-06-01T00:55:00Z</dcterms:created>
  <dc:creator>微软用户</dc:creator>
  <cp:lastModifiedBy>Admi</cp:lastModifiedBy>
  <cp:lastPrinted>2020-09-17T13:30:00Z</cp:lastPrinted>
  <dcterms:modified xsi:type="dcterms:W3CDTF">2026-07-22T09:02:09Z</dcterms:modified>
  <cp:revision>252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652C779156B240E59C46B4901FE1DEDA</vt:lpwstr>
  </property>
  <property fmtid="{D5CDD505-2E9C-101B-9397-08002B2CF9AE}" pid="4" name="KSOTemplateDocerSaveRecord">
    <vt:lpwstr>eyJoZGlkIjoiODA4ZjVhNTdiMjQyZTM1ODA5ZDI2NGIzZTkxNWIzODciLCJ1c2VySWQiOiIxNjU3MjEwOTUzIn0=</vt:lpwstr>
  </property>
</Properties>
</file>