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ascii="宋体"/>
          <w:b/>
          <w:sz w:val="30"/>
          <w:szCs w:val="30"/>
          <w:highlight w:val="none"/>
        </w:rPr>
      </w:pPr>
    </w:p>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ascii="宋体"/>
          <w:b/>
          <w:sz w:val="30"/>
          <w:szCs w:val="30"/>
          <w:highlight w:val="none"/>
        </w:rPr>
      </w:pPr>
    </w:p>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ascii="宋体"/>
          <w:b/>
          <w:sz w:val="30"/>
          <w:szCs w:val="30"/>
          <w:highlight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center"/>
        <w:textAlignment w:val="auto"/>
        <w:rPr>
          <w:rFonts w:ascii="仿宋_GB2312" w:hAnsi="宋体"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16" w:firstLineChars="100"/>
        <w:jc w:val="right"/>
        <w:textAlignment w:val="auto"/>
        <w:rPr>
          <w:rFonts w:hint="default" w:ascii="仿宋_GB2312" w:hAnsi="宋体" w:eastAsia="仿宋_GB2312"/>
          <w:color w:val="auto"/>
          <w:sz w:val="18"/>
          <w:szCs w:val="18"/>
          <w:highlight w:val="none"/>
          <w:lang w:val="en-US" w:eastAsia="zh-CN"/>
        </w:rPr>
      </w:pPr>
      <w:r>
        <w:rPr>
          <w:rFonts w:hint="eastAsia" w:hAnsi="宋体"/>
          <w:sz w:val="32"/>
          <w:szCs w:val="32"/>
          <w:highlight w:val="none"/>
          <w:lang w:eastAsia="zh-CN"/>
        </w:rPr>
        <w:t>榕环评</w:t>
      </w:r>
      <w:r>
        <w:rPr>
          <w:rFonts w:hint="eastAsia" w:ascii="仿宋_GB2312" w:hAnsi="宋体" w:eastAsia="仿宋_GB2312"/>
          <w:sz w:val="32"/>
          <w:szCs w:val="32"/>
          <w:highlight w:val="none"/>
        </w:rPr>
        <w:t>〔</w:t>
      </w:r>
      <w:r>
        <w:rPr>
          <w:rFonts w:ascii="仿宋_GB2312" w:hAnsi="宋体" w:eastAsia="仿宋_GB2312"/>
          <w:sz w:val="32"/>
          <w:szCs w:val="32"/>
          <w:highlight w:val="none"/>
        </w:rPr>
        <w:t>20</w:t>
      </w:r>
      <w:r>
        <w:rPr>
          <w:rFonts w:hint="eastAsia" w:ascii="仿宋_GB2312" w:hAnsi="宋体" w:eastAsia="仿宋_GB2312"/>
          <w:sz w:val="32"/>
          <w:szCs w:val="32"/>
          <w:highlight w:val="none"/>
          <w:lang w:val="en-US" w:eastAsia="zh-CN"/>
        </w:rPr>
        <w:t>2</w:t>
      </w:r>
      <w:r>
        <w:rPr>
          <w:rFonts w:hint="eastAsia" w:hAnsi="宋体"/>
          <w:sz w:val="32"/>
          <w:szCs w:val="32"/>
          <w:highlight w:val="none"/>
          <w:lang w:val="en-US" w:eastAsia="zh-CN"/>
        </w:rPr>
        <w:t>6</w:t>
      </w:r>
      <w:r>
        <w:rPr>
          <w:rFonts w:hint="eastAsia" w:ascii="仿宋_GB2312" w:hAnsi="宋体" w:eastAsia="仿宋_GB2312"/>
          <w:sz w:val="32"/>
          <w:szCs w:val="32"/>
          <w:highlight w:val="none"/>
        </w:rPr>
        <w:t>〕</w:t>
      </w:r>
      <w:r>
        <w:rPr>
          <w:rFonts w:hint="eastAsia" w:hAnsi="宋体"/>
          <w:sz w:val="32"/>
          <w:szCs w:val="32"/>
          <w:highlight w:val="none"/>
          <w:lang w:val="en-US" w:eastAsia="zh-CN"/>
        </w:rPr>
        <w:t>62</w:t>
      </w:r>
      <w:r>
        <w:rPr>
          <w:rFonts w:hint="eastAsia" w:ascii="仿宋_GB2312" w:hAnsi="宋体" w:eastAsia="仿宋_GB2312"/>
          <w:sz w:val="32"/>
          <w:szCs w:val="32"/>
          <w:highlight w:val="none"/>
        </w:rPr>
        <w:t>号</w:t>
      </w:r>
    </w:p>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hint="eastAsia" w:ascii="仿宋_GB2312" w:hAnsi="宋体" w:eastAsia="仿宋_GB2312"/>
          <w:color w:val="FF0000"/>
          <w:sz w:val="32"/>
          <w:szCs w:val="32"/>
          <w:highlight w:val="none"/>
          <w:lang w:eastAsia="zh-CN"/>
        </w:rPr>
      </w:pPr>
    </w:p>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hint="eastAsia" w:ascii="仿宋_GB2312" w:hAnsi="宋体" w:eastAsia="仿宋_GB2312"/>
          <w:color w:val="FF0000"/>
          <w:sz w:val="32"/>
          <w:szCs w:val="32"/>
          <w:highlight w:val="none"/>
          <w:lang w:eastAsia="zh-CN"/>
        </w:rPr>
      </w:pPr>
    </w:p>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hint="eastAsia" w:ascii="方正小标宋_GBK" w:hAnsi="方正小标宋_GBK" w:eastAsia="方正小标宋_GBK" w:cs="方正小标宋_GBK"/>
          <w:b/>
          <w:color w:val="000000"/>
          <w:sz w:val="44"/>
          <w:szCs w:val="44"/>
          <w:highlight w:val="none"/>
          <w:lang w:val="en-US" w:eastAsia="zh-CN"/>
        </w:rPr>
      </w:pPr>
      <w:r>
        <w:rPr>
          <w:rFonts w:hint="eastAsia" w:ascii="方正小标宋_GBK" w:hAnsi="方正小标宋_GBK" w:eastAsia="方正小标宋_GBK" w:cs="方正小标宋_GBK"/>
          <w:b/>
          <w:color w:val="000000"/>
          <w:sz w:val="44"/>
          <w:szCs w:val="44"/>
          <w:highlight w:val="none"/>
          <w:lang w:val="en-US" w:eastAsia="zh-CN"/>
        </w:rPr>
        <w:t>福州市生态环境局</w:t>
      </w:r>
    </w:p>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hint="eastAsia" w:ascii="方正小标宋_GBK" w:hAnsi="方正小标宋_GBK" w:eastAsia="方正小标宋_GBK" w:cs="方正小标宋_GBK"/>
          <w:b/>
          <w:color w:val="000000"/>
          <w:sz w:val="44"/>
          <w:szCs w:val="44"/>
          <w:highlight w:val="none"/>
          <w:lang w:val="en-US" w:eastAsia="zh-CN"/>
        </w:rPr>
      </w:pPr>
      <w:r>
        <w:rPr>
          <w:rFonts w:hint="eastAsia" w:ascii="方正小标宋_GBK" w:hAnsi="方正小标宋_GBK" w:eastAsia="方正小标宋_GBK" w:cs="方正小标宋_GBK"/>
          <w:b/>
          <w:color w:val="000000"/>
          <w:sz w:val="44"/>
          <w:szCs w:val="44"/>
          <w:highlight w:val="none"/>
          <w:lang w:val="en-US" w:eastAsia="zh-CN"/>
        </w:rPr>
        <w:t>关于福建省恒申化工科技有限公司催化剂项目</w:t>
      </w:r>
    </w:p>
    <w:p>
      <w:pPr>
        <w:keepNext w:val="0"/>
        <w:keepLines w:val="0"/>
        <w:pageBreakBefore w:val="0"/>
        <w:widowControl w:val="0"/>
        <w:kinsoku/>
        <w:overflowPunct/>
        <w:topLinePunct w:val="0"/>
        <w:autoSpaceDE/>
        <w:autoSpaceDN/>
        <w:bidi w:val="0"/>
        <w:adjustRightInd/>
        <w:spacing w:line="560" w:lineRule="exact"/>
        <w:ind w:left="0" w:leftChars="0" w:right="0" w:rightChars="0"/>
        <w:jc w:val="center"/>
        <w:textAlignment w:val="auto"/>
        <w:rPr>
          <w:rFonts w:hint="eastAsia" w:ascii="宋体" w:hAnsi="宋体" w:eastAsia="宋体"/>
          <w:b/>
          <w:color w:val="000000"/>
          <w:sz w:val="44"/>
          <w:szCs w:val="44"/>
          <w:highlight w:val="none"/>
          <w:lang w:eastAsia="zh-CN"/>
        </w:rPr>
      </w:pPr>
      <w:r>
        <w:rPr>
          <w:rFonts w:hint="eastAsia" w:ascii="方正小标宋_GBK" w:hAnsi="方正小标宋_GBK" w:eastAsia="方正小标宋_GBK" w:cs="方正小标宋_GBK"/>
          <w:b/>
          <w:color w:val="000000"/>
          <w:sz w:val="44"/>
          <w:szCs w:val="44"/>
          <w:highlight w:val="none"/>
          <w:lang w:val="en-US" w:eastAsia="zh-CN"/>
        </w:rPr>
        <w:t>环境影响报告书的审批意见</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hint="eastAsia" w:ascii="宋体" w:hAnsi="宋体" w:cs="长城小标宋体"/>
          <w:sz w:val="32"/>
          <w:szCs w:val="32"/>
          <w:highlight w:val="none"/>
        </w:rPr>
      </w:pPr>
    </w:p>
    <w:p>
      <w:pPr>
        <w:keepNext w:val="0"/>
        <w:keepLines w:val="0"/>
        <w:pageBreakBefore w:val="0"/>
        <w:widowControl w:val="0"/>
        <w:kinsoku/>
        <w:overflowPunct/>
        <w:topLinePunct w:val="0"/>
        <w:autoSpaceDE/>
        <w:autoSpaceDN/>
        <w:bidi w:val="0"/>
        <w:adjustRightInd/>
        <w:spacing w:line="560" w:lineRule="exact"/>
        <w:ind w:left="0" w:leftChars="0" w:right="0" w:rightChars="0" w:firstLine="0" w:firstLineChars="0"/>
        <w:textAlignment w:val="auto"/>
        <w:rPr>
          <w:rFonts w:hint="eastAsia" w:ascii="仿宋_GB2312" w:hAnsi="宋体" w:eastAsia="仿宋_GB2312" w:cs="仿宋_GB2312"/>
          <w:sz w:val="32"/>
          <w:szCs w:val="32"/>
          <w:highlight w:val="none"/>
          <w:lang w:eastAsia="zh-CN"/>
        </w:rPr>
      </w:pPr>
      <w:r>
        <w:rPr>
          <w:rFonts w:hint="eastAsia" w:ascii="仿宋_GB2312" w:hAnsi="宋体" w:eastAsia="仿宋_GB2312" w:cs="仿宋_GB2312"/>
          <w:sz w:val="32"/>
          <w:szCs w:val="32"/>
          <w:highlight w:val="none"/>
        </w:rPr>
        <w:t>福建省恒申化工科技有限公司：</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你司报送的《福建省恒申化工科技有限公司催化剂项目环境影响报告书》（以下简称《报告书》）及申请审批的报告收悉。根据《中华人民共和国环境影响评价法》第</w:t>
      </w:r>
      <w:r>
        <w:rPr>
          <w:rFonts w:hint="eastAsia" w:hAnsi="宋体"/>
          <w:color w:val="auto"/>
          <w:sz w:val="32"/>
          <w:szCs w:val="32"/>
          <w:highlight w:val="none"/>
          <w:lang w:val="en-US" w:eastAsia="zh-CN"/>
        </w:rPr>
        <w:t>二十二</w:t>
      </w:r>
      <w:r>
        <w:rPr>
          <w:rFonts w:hint="eastAsia" w:ascii="仿宋_GB2312" w:hAnsi="宋体" w:eastAsia="仿宋_GB2312"/>
          <w:color w:val="auto"/>
          <w:sz w:val="32"/>
          <w:szCs w:val="32"/>
          <w:highlight w:val="none"/>
          <w:lang w:val="en-US" w:eastAsia="zh-CN"/>
        </w:rPr>
        <w:t>条等规定，经组织技术审查，并征求福州市</w:t>
      </w:r>
      <w:r>
        <w:rPr>
          <w:rFonts w:hint="eastAsia" w:hAnsi="宋体"/>
          <w:color w:val="auto"/>
          <w:sz w:val="32"/>
          <w:szCs w:val="32"/>
          <w:highlight w:val="none"/>
          <w:lang w:val="en-US" w:eastAsia="zh-CN"/>
        </w:rPr>
        <w:t>连江</w:t>
      </w:r>
      <w:r>
        <w:rPr>
          <w:rFonts w:hint="eastAsia" w:ascii="仿宋_GB2312" w:hAnsi="宋体" w:eastAsia="仿宋_GB2312"/>
          <w:color w:val="auto"/>
          <w:sz w:val="32"/>
          <w:szCs w:val="32"/>
          <w:highlight w:val="none"/>
          <w:lang w:val="en-US" w:eastAsia="zh-CN"/>
        </w:rPr>
        <w:t>生态环境局意见，现提出审批意见如下</w:t>
      </w:r>
      <w:r>
        <w:rPr>
          <w:rFonts w:hint="eastAsia" w:hAnsi="宋体"/>
          <w:color w:val="auto"/>
          <w:sz w:val="32"/>
          <w:szCs w:val="32"/>
          <w:highlight w:val="none"/>
          <w:lang w:val="en-US" w:eastAsia="zh-CN"/>
        </w:rPr>
        <w:t>：</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32" w:firstLineChars="200"/>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一、福建省恒申化工科技有限公司催化剂项目位于连江县坑园镇红下村松岐大道1号，建设规模和内容：年利用处置废钌催化剂36吨（处置类别属HW50废催化剂），建设36吨废钌催化剂回收生产线以及4800千克钌锌催化剂（以钌计）制造生产线。</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根据《报告书》评价结论和福州市环境影响评价技术中心的技术评估报告（编号2-2026-013），该项目建设符合国家产业政策，选址满足福州市生态环境分区管控要求，符合《福州台商投资区扩区总体规划（2012-2020）》《福州市可门港经济区化工新材料产业园总体规划修编（2024-2035）》等规划及规划环评要求。在严格落实环保“三同时”制度，认真落实《报告书》提出的各项生态环境保护和环境风险防范措施要求，加强环境管理的前提下，从环境影响角度分析，项目建设可行。我局原则同意《报告书》中所列建设项目的性质、规模、地点、工艺和拟采取的环境保护对策措施。</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二、你司在项目设计、建设和运营中应认真落实《报告书》提出的各项生态环境保护和环境风险防范措施要求，确保各项污染物稳定达标排放，重点做好以下工作：</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（一）落实生态环境保护措施</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1.大气污染防治措施。废气经处理达标后，由排气筒引至高空排放。项目排气筒数量、高度应达到《报告书》要求并符合相关规定。项目各无组织废气产排节点应按照《报告书》及相关规定要求采取有效的控制措施，减少无组织排放。根据《报告书》结论及技术评估意见，本项目实施后，全厂环境防护距离为催化剂厂房外延100米形成的包络范围。在上述环境防护距离内不得有居民区、学校、医院、行政办公和科研等环境敏感目标。你司应将环境防护距离控制要求及时报告当地政府和建设规划部门，并配合做好环境防护距离内的规划用地控制工作。</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2.水污染防治措施。项目应按照“清污分流、雨污分流、污污分流”原则，建设完善污水收集、处理系统，并落实污水明管化要求。项目含重金属废水禁止外排，生活污水经化粪池处理达标后，接入园区市政污水管网纳入可门经济开发区污水处理厂集中处理。污水排放口应按规范化建设，安装流量、pH值、氨氮、化学需氧量在线监测设备并与生态环境行政主管部门联网，安装总锌在线监测设施并与园区相关平台联网。根据《报告书》及你司承诺，在可门经济开发区污水处理厂正式同意接收并处理本项目生产废水后，本项目方可投产。</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3.土壤和地下水污染防治措施。按照相关技术规范以及《报告书》要求，做好源头控制和分区防控措施，并加强防渗设施的日常维护，建立完善的土壤和地下水监测制度，制定污染应急响应体系，减少对土壤和地下水环境的不利影响。</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4.噪声污染防治措施。优化总平布局，优先选用先进的低噪声设备，合理布设电动葫芦、各类泵机等高噪声设备并采取隔声、消声、减振等措施，确保厂界噪声达标排放。</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5.固体废物污染防治措施。按规范开展固体废物分类收集、贮存、处理和处置，建立固体废物管理台账，加强全过程规范化管理，确保不造成二次污染。项目产生的危险废物应委托有资质单位处置。生活垃圾集中分类收集，由环卫部门统一清运。</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default" w:hAnsi="宋体"/>
          <w:color w:val="auto"/>
          <w:sz w:val="32"/>
          <w:szCs w:val="32"/>
          <w:highlight w:val="none"/>
          <w:lang w:val="en-US" w:eastAsia="zh-CN"/>
        </w:rPr>
      </w:pPr>
      <w:r>
        <w:rPr>
          <w:rFonts w:hint="eastAsia" w:hAnsi="宋体"/>
          <w:color w:val="auto"/>
          <w:sz w:val="32"/>
          <w:szCs w:val="32"/>
          <w:highlight w:val="none"/>
          <w:lang w:val="en-US" w:eastAsia="zh-CN"/>
        </w:rPr>
        <w:t>6.温室气体排放管理。从源头防控、过程控制、回收利用等方面控制温室气体排放，强化节能降耗、优化减污措施，确保企业能效达到行业标杆水平，实现减污降碳协同控制。</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7.环境管理。加强施工期环境保护管理，控制施工期扬尘、污水、噪声等对周边环境的影响。认真落实运营期环境监测计划，按照《报告书》确认的监测点位、项目及频次组织开展环境监测，监测结果报当地生态环境部门备案。</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（二）落实环境风险防范措施</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建立三级防控体系，加强环境保护措施的日常维护管理，强化环境风险防范和应急措施。应按《报告书》要求设置围堰，全厂应设置足够容积的环境事故应急池，配备完善的事故废水导流设施，确保事故废水的有效输送和收储。各环境风险设施、防控环节，须设置切换阀并与事故应急池联通，确保事故应急处置废水不外排。你司要及时编制企业突发环境事件应急预案并报福州市连江生态环境局备案，充分衔接园区、政府及有关部门的应急预案，储备足够的环境应急物资和应急装备，定期开展环境应急演练，并与地方政府建立应急联动机制，有效防范和应对环境风险，确保厂区周边环境安全。</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三、污染物排放标准</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1.废气。氯化氢、氯气有组织排放参照执行《无机化学工业污染物排放标准》（GB31573-2015）及其修改单表4特别排放限值，无组织排放参照执行《无机化学工业污染物排放标准》（GB31573-2015）及其修改单表5排放限值。</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2.废水。废水排入可门经济开发区污水处理厂参照执行《无机化学工业污染物排放标准》（GB31573-2015）及其修改单表1间接排放限值，并满足可门经济开发区污水处理厂进水水质要求。</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3.噪声。运营期厂界环境噪声执行《工业企业厂界环境噪声排放标准》（GB12348-2008）3类功能区限值。施工期噪声执行《建筑施工噪声排放标准》（GB12523-2025）。</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both"/>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4.固体废物。危险废物贮存执行《危险废物贮存污染控制标准》（GB18597-2023）要求，转移管理执行《危险废物转移管理办法》（部令第23号）相关规定。</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四、主要污染物允许排放总量</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项目投产后新增主要污染物排放总量控制要求：化学需氧量≤0.222吨/年、氨氮≤0.022吨/年。项目新增的化学需氧量、氨氮总量指标按1.0倍交易，所需排污权指标分别为：化学需氧量0.222吨/年、氨氮0.022吨/年。你司应按照相关规定，于项目投产前取得化学需氧量、氨氮排污权指标。</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五、《报告书》批准后，如建设项目的性质、规模、地点、采用的生产工艺或者防治污染、防止生态破坏的措施发生重大变动的，应当依法重新报批项目环评。《报告书》自批准之日起满五年，项目方开工建设的，其环评文件应当依法报我局重新审核。</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32" w:firstLineChars="200"/>
        <w:jc w:val="left"/>
        <w:textAlignment w:val="auto"/>
        <w:rPr>
          <w:rFonts w:hint="eastAsia" w:hAnsi="宋体"/>
          <w:color w:val="auto"/>
          <w:sz w:val="32"/>
          <w:szCs w:val="32"/>
          <w:highlight w:val="none"/>
          <w:lang w:val="en-US" w:eastAsia="zh-CN"/>
        </w:rPr>
      </w:pPr>
      <w:r>
        <w:rPr>
          <w:rFonts w:hint="eastAsia" w:hAnsi="宋体"/>
          <w:color w:val="auto"/>
          <w:sz w:val="32"/>
          <w:szCs w:val="32"/>
          <w:highlight w:val="none"/>
          <w:lang w:val="en-US" w:eastAsia="zh-CN"/>
        </w:rPr>
        <w:t>六、项目建设应严格执行环境保护“三同时”制度，投入运营并产生实际排污行为之前，你司应认真梳理并确认各项环境保护措施落实，依法申请取得排污许可证并按证排污。项目投入生产后，应依法组织开展竣工环保自主验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left"/>
        <w:textAlignment w:val="auto"/>
        <w:rPr>
          <w:rFonts w:hint="eastAsia"/>
          <w:highlight w:val="none"/>
          <w:lang w:val="en-US" w:eastAsia="zh-CN"/>
        </w:rPr>
      </w:pPr>
      <w:r>
        <w:rPr>
          <w:rFonts w:hint="eastAsia" w:hAnsi="宋体"/>
          <w:color w:val="auto"/>
          <w:sz w:val="32"/>
          <w:szCs w:val="32"/>
          <w:highlight w:val="none"/>
          <w:lang w:val="en-US" w:eastAsia="zh-CN"/>
        </w:rPr>
        <w:t>七、我局委托福州市生态环境保护综合执法支队开展该项目环保“三同时”监督检查，由福州市连江生态环境局负责该项目</w:t>
      </w:r>
      <w:r>
        <w:rPr>
          <w:rFonts w:hint="eastAsia" w:ascii="仿宋_GB2312" w:hAnsi="仿宋_GB2312" w:eastAsia="仿宋_GB2312" w:cs="仿宋_GB2312"/>
          <w:color w:val="auto"/>
          <w:sz w:val="32"/>
          <w:szCs w:val="32"/>
          <w:highlight w:val="none"/>
          <w:lang w:val="en-US" w:eastAsia="zh-CN"/>
        </w:rPr>
        <w:t>日常环保监督管理工作。</w:t>
      </w:r>
    </w:p>
    <w:p>
      <w:pPr>
        <w:keepNext w:val="0"/>
        <w:keepLines w:val="0"/>
        <w:pageBreakBefore w:val="0"/>
        <w:widowControl w:val="0"/>
        <w:kinsoku/>
        <w:wordWrap/>
        <w:overflowPunct/>
        <w:topLinePunct w:val="0"/>
        <w:autoSpaceDE/>
        <w:autoSpaceDN/>
        <w:bidi w:val="0"/>
        <w:adjustRightInd/>
        <w:snapToGrid/>
        <w:spacing w:line="560" w:lineRule="exact"/>
        <w:ind w:left="4111" w:leftChars="0" w:right="0" w:rightChars="0" w:hanging="4111" w:hangingChars="1301"/>
        <w:jc w:val="left"/>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left="4111" w:leftChars="0" w:right="0" w:rightChars="0" w:hanging="4111" w:hangingChars="1301"/>
        <w:jc w:val="right"/>
        <w:textAlignment w:val="auto"/>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福州市</w:t>
      </w:r>
      <w:r>
        <w:rPr>
          <w:rFonts w:hint="eastAsia" w:ascii="仿宋_GB2312" w:hAnsi="仿宋_GB2312" w:eastAsia="仿宋_GB2312" w:cs="仿宋_GB2312"/>
          <w:color w:val="000000"/>
          <w:sz w:val="32"/>
          <w:szCs w:val="32"/>
          <w:highlight w:val="none"/>
          <w:lang w:eastAsia="zh-CN"/>
        </w:rPr>
        <w:t>生态环境</w:t>
      </w:r>
      <w:r>
        <w:rPr>
          <w:rFonts w:hint="eastAsia" w:ascii="仿宋_GB2312" w:hAnsi="仿宋_GB2312" w:eastAsia="仿宋_GB2312" w:cs="仿宋_GB2312"/>
          <w:color w:val="000000"/>
          <w:sz w:val="32"/>
          <w:szCs w:val="32"/>
          <w:highlight w:val="none"/>
        </w:rPr>
        <w:t>局</w:t>
      </w:r>
      <w:r>
        <w:rPr>
          <w:rFonts w:hint="eastAsia" w:cs="仿宋_GB2312"/>
          <w:color w:val="000000"/>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372" w:firstLineChars="17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w:t>
      </w:r>
      <w:r>
        <w:rPr>
          <w:rFonts w:hint="eastAsia" w:ascii="仿宋_GB2312" w:hAnsi="仿宋_GB2312" w:eastAsia="仿宋_GB2312" w:cs="仿宋_GB2312"/>
          <w:color w:val="000000"/>
          <w:sz w:val="32"/>
          <w:szCs w:val="32"/>
          <w:highlight w:val="none"/>
          <w:lang w:val="en-US" w:eastAsia="zh-CN"/>
        </w:rPr>
        <w:t>2</w:t>
      </w:r>
      <w:r>
        <w:rPr>
          <w:rFonts w:hint="eastAsia"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年</w:t>
      </w:r>
      <w:r>
        <w:rPr>
          <w:rFonts w:hint="eastAsia"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月</w:t>
      </w:r>
      <w:r>
        <w:rPr>
          <w:rFonts w:hint="eastAsia" w:cs="仿宋_GB2312"/>
          <w:color w:val="000000"/>
          <w:sz w:val="32"/>
          <w:szCs w:val="32"/>
          <w:highlight w:val="none"/>
          <w:lang w:val="en-US" w:eastAsia="zh-CN"/>
        </w:rPr>
        <w:t>24</w:t>
      </w:r>
      <w:r>
        <w:rPr>
          <w:rFonts w:hint="eastAsia" w:ascii="仿宋_GB2312" w:hAnsi="仿宋_GB2312" w:eastAsia="仿宋_GB2312" w:cs="仿宋_GB2312"/>
          <w:color w:val="000000"/>
          <w:sz w:val="32"/>
          <w:szCs w:val="32"/>
          <w:highlight w:val="none"/>
        </w:rPr>
        <w:t>日</w:t>
      </w:r>
    </w:p>
    <w:p>
      <w:pPr>
        <w:pStyle w:val="10"/>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rPr>
          <w:rFonts w:hint="eastAsia"/>
          <w:lang w:val="en-US" w:eastAsia="zh-CN"/>
        </w:rPr>
      </w:pPr>
      <w:bookmarkStart w:id="0" w:name="_GoBack"/>
      <w:bookmarkEnd w:id="0"/>
    </w:p>
    <w:p>
      <w:pPr>
        <w:pStyle w:val="10"/>
        <w:rPr>
          <w:rFonts w:hint="eastAsia"/>
          <w:highlight w:val="none"/>
          <w:lang w:val="en-US" w:eastAsia="zh-CN"/>
        </w:rPr>
      </w:pPr>
    </w:p>
    <w:p>
      <w:pPr>
        <w:pStyle w:val="11"/>
        <w:rPr>
          <w:rFonts w:hint="eastAsia"/>
          <w:highlight w:val="none"/>
          <w:lang w:val="en-US" w:eastAsia="zh-CN"/>
        </w:rPr>
      </w:pPr>
    </w:p>
    <w:tbl>
      <w:tblPr>
        <w:tblStyle w:val="12"/>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780"/>
        <w:gridCol w:w="3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260" w:type="dxa"/>
            <w:tcBorders>
              <w:top w:val="single" w:color="auto" w:sz="4" w:space="0"/>
              <w:left w:val="nil"/>
              <w:bottom w:val="single" w:color="auto" w:sz="4" w:space="0"/>
              <w:right w:val="nil"/>
            </w:tcBorders>
            <w:noWrap w:val="0"/>
            <w:vAlign w:val="center"/>
          </w:tcPr>
          <w:p>
            <w:pPr>
              <w:keepNext w:val="0"/>
              <w:keepLines w:val="0"/>
              <w:pageBreakBefore w:val="0"/>
              <w:widowControl w:val="0"/>
              <w:tabs>
                <w:tab w:val="left" w:pos="3885"/>
              </w:tabs>
              <w:kinsoku/>
              <w:overflowPunct/>
              <w:topLinePunct w:val="0"/>
              <w:autoSpaceDE/>
              <w:autoSpaceDN/>
              <w:bidi w:val="0"/>
              <w:adjustRightInd/>
              <w:snapToGrid/>
              <w:spacing w:beforeAutospacing="0" w:afterAutospacing="0" w:line="480" w:lineRule="exact"/>
              <w:ind w:left="0" w:leftChars="0" w:firstLine="177" w:firstLineChars="64"/>
              <w:textAlignment w:val="auto"/>
              <w:outlineLvl w:val="9"/>
              <w:rPr>
                <w:rFonts w:ascii="仿宋_GB2312" w:eastAsia="仿宋_GB2312"/>
                <w:color w:val="auto"/>
                <w:sz w:val="28"/>
                <w:szCs w:val="28"/>
                <w:highlight w:val="none"/>
              </w:rPr>
            </w:pPr>
            <w:r>
              <w:rPr>
                <w:rFonts w:hint="eastAsia" w:ascii="仿宋_GB2312" w:hAnsi="仿宋" w:eastAsia="仿宋_GB2312"/>
                <w:sz w:val="28"/>
                <w:szCs w:val="28"/>
                <w:highlight w:val="none"/>
              </w:rPr>
              <w:t>抄送：</w:t>
            </w:r>
          </w:p>
        </w:tc>
        <w:tc>
          <w:tcPr>
            <w:tcW w:w="7455" w:type="dxa"/>
            <w:gridSpan w:val="2"/>
            <w:tcBorders>
              <w:top w:val="single" w:color="auto" w:sz="4" w:space="0"/>
              <w:left w:val="nil"/>
              <w:bottom w:val="single" w:color="auto" w:sz="4" w:space="0"/>
              <w:right w:val="nil"/>
            </w:tcBorders>
            <w:noWrap w:val="0"/>
            <w:vAlign w:val="center"/>
          </w:tcPr>
          <w:p>
            <w:pPr>
              <w:keepNext w:val="0"/>
              <w:keepLines w:val="0"/>
              <w:pageBreakBefore w:val="0"/>
              <w:widowControl w:val="0"/>
              <w:tabs>
                <w:tab w:val="left" w:pos="3885"/>
              </w:tabs>
              <w:kinsoku/>
              <w:wordWrap/>
              <w:overflowPunct/>
              <w:topLinePunct w:val="0"/>
              <w:autoSpaceDE/>
              <w:autoSpaceDN/>
              <w:bidi w:val="0"/>
              <w:adjustRightInd/>
              <w:snapToGrid/>
              <w:spacing w:beforeAutospacing="0" w:afterAutospacing="0" w:line="480" w:lineRule="exact"/>
              <w:ind w:left="0" w:leftChars="0"/>
              <w:textAlignment w:val="auto"/>
              <w:outlineLvl w:val="9"/>
              <w:rPr>
                <w:rFonts w:hint="eastAsia" w:ascii="仿宋_GB2312" w:eastAsia="仿宋_GB2312"/>
                <w:color w:val="auto"/>
                <w:sz w:val="28"/>
                <w:szCs w:val="28"/>
                <w:highlight w:val="none"/>
                <w:lang w:eastAsia="zh-CN"/>
              </w:rPr>
            </w:pPr>
            <w:r>
              <w:rPr>
                <w:rFonts w:hint="eastAsia" w:ascii="仿宋_GB2312" w:hAnsi="仿宋" w:eastAsia="仿宋_GB2312"/>
                <w:sz w:val="28"/>
                <w:szCs w:val="28"/>
                <w:highlight w:val="none"/>
              </w:rPr>
              <w:t>局</w:t>
            </w:r>
            <w:r>
              <w:rPr>
                <w:rFonts w:hint="eastAsia" w:hAnsi="仿宋"/>
                <w:sz w:val="28"/>
                <w:szCs w:val="28"/>
                <w:highlight w:val="none"/>
                <w:lang w:eastAsia="zh-CN"/>
              </w:rPr>
              <w:t>大气处、土</w:t>
            </w:r>
            <w:r>
              <w:rPr>
                <w:rFonts w:hint="eastAsia" w:ascii="仿宋_GB2312" w:hAnsi="仿宋" w:eastAsia="仿宋_GB2312"/>
                <w:sz w:val="28"/>
                <w:szCs w:val="28"/>
                <w:highlight w:val="none"/>
              </w:rPr>
              <w:t>处</w:t>
            </w:r>
            <w:r>
              <w:rPr>
                <w:rFonts w:hint="eastAsia" w:hAnsi="仿宋"/>
                <w:sz w:val="28"/>
                <w:szCs w:val="28"/>
                <w:highlight w:val="none"/>
                <w:lang w:eastAsia="zh-CN"/>
              </w:rPr>
              <w:t>、</w:t>
            </w:r>
            <w:r>
              <w:rPr>
                <w:rFonts w:hint="eastAsia" w:ascii="仿宋_GB2312" w:hAnsi="仿宋" w:eastAsia="仿宋_GB2312"/>
                <w:sz w:val="28"/>
                <w:szCs w:val="28"/>
                <w:highlight w:val="none"/>
              </w:rPr>
              <w:t>福州市生态环境保护综合执法支队</w:t>
            </w:r>
            <w:r>
              <w:rPr>
                <w:rFonts w:hint="eastAsia" w:hAnsi="仿宋"/>
                <w:sz w:val="28"/>
                <w:szCs w:val="28"/>
                <w:highlight w:val="none"/>
                <w:lang w:eastAsia="zh-CN"/>
              </w:rPr>
              <w:t>、</w:t>
            </w:r>
            <w:r>
              <w:rPr>
                <w:rFonts w:hint="eastAsia" w:ascii="仿宋_GB2312" w:hAnsi="仿宋" w:eastAsia="仿宋_GB2312"/>
                <w:sz w:val="28"/>
                <w:szCs w:val="28"/>
                <w:highlight w:val="none"/>
              </w:rPr>
              <w:t>福州市环境影响评价技术中心，连江经济开发区可门园区服务中心</w:t>
            </w:r>
            <w:r>
              <w:rPr>
                <w:rFonts w:hint="eastAsia" w:hAnsi="仿宋"/>
                <w:sz w:val="28"/>
                <w:szCs w:val="28"/>
                <w:highlight w:val="none"/>
                <w:lang w:eastAsia="zh-CN"/>
              </w:rPr>
              <w:t>，</w:t>
            </w:r>
            <w:r>
              <w:rPr>
                <w:rFonts w:hint="eastAsia" w:ascii="仿宋_GB2312" w:hAnsi="仿宋" w:eastAsia="仿宋_GB2312"/>
                <w:sz w:val="28"/>
                <w:szCs w:val="28"/>
                <w:highlight w:val="none"/>
              </w:rPr>
              <w:t>福州市</w:t>
            </w:r>
            <w:r>
              <w:rPr>
                <w:rFonts w:hint="eastAsia" w:hAnsi="仿宋"/>
                <w:sz w:val="28"/>
                <w:szCs w:val="28"/>
                <w:highlight w:val="none"/>
                <w:lang w:eastAsia="zh-CN"/>
              </w:rPr>
              <w:t>连江</w:t>
            </w:r>
            <w:r>
              <w:rPr>
                <w:rFonts w:hint="eastAsia" w:ascii="仿宋_GB2312" w:hAnsi="仿宋" w:eastAsia="仿宋_GB2312"/>
                <w:sz w:val="28"/>
                <w:szCs w:val="28"/>
                <w:highlight w:val="none"/>
              </w:rPr>
              <w:t>生态环境局，福建省金皇环保科技股份有限公司</w:t>
            </w:r>
            <w:r>
              <w:rPr>
                <w:rFonts w:hint="eastAsia" w:hAnsi="仿宋"/>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noWrap w:val="0"/>
            <w:vAlign w:val="center"/>
          </w:tcPr>
          <w:p>
            <w:pPr>
              <w:keepNext w:val="0"/>
              <w:keepLines w:val="0"/>
              <w:pageBreakBefore w:val="0"/>
              <w:widowControl w:val="0"/>
              <w:tabs>
                <w:tab w:val="left" w:pos="3885"/>
              </w:tabs>
              <w:kinsoku/>
              <w:overflowPunct/>
              <w:topLinePunct w:val="0"/>
              <w:autoSpaceDE/>
              <w:autoSpaceDN/>
              <w:bidi w:val="0"/>
              <w:adjustRightInd/>
              <w:snapToGrid/>
              <w:spacing w:beforeAutospacing="0" w:afterAutospacing="0" w:line="480" w:lineRule="exact"/>
              <w:ind w:left="0" w:leftChars="0" w:firstLine="177" w:firstLineChars="64"/>
              <w:textAlignment w:val="auto"/>
              <w:outlineLvl w:val="9"/>
              <w:rPr>
                <w:rFonts w:eastAsia="仿宋_GB2312"/>
                <w:color w:val="auto"/>
                <w:sz w:val="28"/>
                <w:szCs w:val="28"/>
                <w:highlight w:val="none"/>
              </w:rPr>
            </w:pPr>
            <w:r>
              <w:rPr>
                <w:rFonts w:hint="eastAsia" w:ascii="仿宋_GB2312" w:eastAsia="仿宋_GB2312"/>
                <w:color w:val="auto"/>
                <w:sz w:val="28"/>
                <w:szCs w:val="28"/>
                <w:highlight w:val="none"/>
              </w:rPr>
              <w:t>福州市</w:t>
            </w:r>
            <w:r>
              <w:rPr>
                <w:rFonts w:hint="eastAsia" w:ascii="仿宋_GB2312" w:eastAsia="仿宋_GB2312"/>
                <w:color w:val="auto"/>
                <w:sz w:val="28"/>
                <w:szCs w:val="28"/>
                <w:highlight w:val="none"/>
                <w:lang w:eastAsia="zh-CN"/>
              </w:rPr>
              <w:t>生态环境</w:t>
            </w:r>
            <w:r>
              <w:rPr>
                <w:rFonts w:hint="eastAsia" w:ascii="仿宋_GB2312" w:eastAsia="仿宋_GB2312"/>
                <w:color w:val="auto"/>
                <w:sz w:val="28"/>
                <w:szCs w:val="28"/>
                <w:highlight w:val="none"/>
              </w:rPr>
              <w:t>局</w:t>
            </w:r>
          </w:p>
        </w:tc>
        <w:tc>
          <w:tcPr>
            <w:tcW w:w="3675" w:type="dxa"/>
            <w:tcBorders>
              <w:top w:val="single" w:color="auto" w:sz="4" w:space="0"/>
              <w:left w:val="nil"/>
              <w:bottom w:val="single" w:color="auto" w:sz="4" w:space="0"/>
              <w:right w:val="nil"/>
            </w:tcBorders>
            <w:noWrap w:val="0"/>
            <w:vAlign w:val="center"/>
          </w:tcPr>
          <w:p>
            <w:pPr>
              <w:keepNext w:val="0"/>
              <w:keepLines w:val="0"/>
              <w:pageBreakBefore w:val="0"/>
              <w:widowControl w:val="0"/>
              <w:tabs>
                <w:tab w:val="left" w:pos="3882"/>
                <w:tab w:val="left" w:pos="3987"/>
              </w:tabs>
              <w:kinsoku/>
              <w:wordWrap w:val="0"/>
              <w:overflowPunct/>
              <w:topLinePunct w:val="0"/>
              <w:autoSpaceDE/>
              <w:autoSpaceDN/>
              <w:bidi w:val="0"/>
              <w:adjustRightInd/>
              <w:snapToGrid/>
              <w:spacing w:beforeAutospacing="0" w:afterAutospacing="0" w:line="480" w:lineRule="exact"/>
              <w:ind w:left="0" w:leftChars="0" w:right="467" w:rightChars="148"/>
              <w:jc w:val="right"/>
              <w:textAlignment w:val="auto"/>
              <w:outlineLvl w:val="9"/>
              <w:rPr>
                <w:rFonts w:eastAsia="仿宋_GB2312"/>
                <w:color w:val="auto"/>
                <w:sz w:val="28"/>
                <w:szCs w:val="28"/>
                <w:highlight w:val="none"/>
              </w:rPr>
            </w:pPr>
            <w:r>
              <w:rPr>
                <w:rFonts w:hint="eastAsia" w:ascii="仿宋_GB2312" w:eastAsia="仿宋_GB2312"/>
                <w:color w:val="auto"/>
                <w:sz w:val="28"/>
                <w:szCs w:val="28"/>
                <w:highlight w:val="none"/>
              </w:rPr>
              <w:t>20</w:t>
            </w:r>
            <w:r>
              <w:rPr>
                <w:rFonts w:hint="eastAsia" w:ascii="仿宋_GB2312" w:eastAsia="仿宋_GB2312"/>
                <w:color w:val="auto"/>
                <w:sz w:val="28"/>
                <w:szCs w:val="28"/>
                <w:highlight w:val="none"/>
                <w:lang w:val="en-US" w:eastAsia="zh-CN"/>
              </w:rPr>
              <w:t>2</w:t>
            </w:r>
            <w:r>
              <w:rPr>
                <w:rFonts w:hint="eastAsia"/>
                <w:color w:val="auto"/>
                <w:sz w:val="28"/>
                <w:szCs w:val="28"/>
                <w:highlight w:val="none"/>
                <w:lang w:val="en-US" w:eastAsia="zh-CN"/>
              </w:rPr>
              <w:t>6</w:t>
            </w:r>
            <w:r>
              <w:rPr>
                <w:rFonts w:hint="eastAsia" w:ascii="仿宋_GB2312" w:eastAsia="仿宋_GB2312"/>
                <w:color w:val="auto"/>
                <w:sz w:val="28"/>
                <w:szCs w:val="28"/>
                <w:highlight w:val="none"/>
              </w:rPr>
              <w:t>年</w:t>
            </w:r>
            <w:r>
              <w:rPr>
                <w:rFonts w:hint="eastAsia"/>
                <w:color w:val="auto"/>
                <w:sz w:val="28"/>
                <w:szCs w:val="28"/>
                <w:highlight w:val="none"/>
                <w:lang w:val="en-US" w:eastAsia="zh-CN"/>
              </w:rPr>
              <w:t>7</w:t>
            </w:r>
            <w:r>
              <w:rPr>
                <w:rFonts w:hint="eastAsia" w:ascii="仿宋_GB2312" w:eastAsia="仿宋_GB2312"/>
                <w:color w:val="auto"/>
                <w:sz w:val="28"/>
                <w:szCs w:val="28"/>
                <w:highlight w:val="none"/>
              </w:rPr>
              <w:t>月</w:t>
            </w:r>
            <w:r>
              <w:rPr>
                <w:rFonts w:hint="eastAsia"/>
                <w:color w:val="auto"/>
                <w:sz w:val="28"/>
                <w:szCs w:val="28"/>
                <w:highlight w:val="none"/>
                <w:lang w:val="en-US" w:eastAsia="zh-CN"/>
              </w:rPr>
              <w:t>24</w:t>
            </w:r>
            <w:r>
              <w:rPr>
                <w:rFonts w:hint="eastAsia" w:ascii="仿宋_GB2312" w:eastAsia="仿宋_GB2312"/>
                <w:color w:val="auto"/>
                <w:sz w:val="28"/>
                <w:szCs w:val="28"/>
                <w:highlight w:val="none"/>
              </w:rPr>
              <w:t>日印发</w:t>
            </w:r>
          </w:p>
        </w:tc>
      </w:tr>
    </w:tbl>
    <w:p>
      <w:pPr>
        <w:jc w:val="left"/>
        <w:rPr>
          <w:rFonts w:hint="eastAsia" w:ascii="仿宋_GB2312" w:hAnsi="仿宋_GB2312" w:eastAsia="仿宋_GB2312" w:cs="仿宋_GB2312"/>
          <w:sz w:val="28"/>
          <w:szCs w:val="28"/>
          <w:lang w:val="en-US" w:eastAsia="zh-CN"/>
        </w:rPr>
      </w:pPr>
    </w:p>
    <w:sectPr>
      <w:footerReference r:id="rId3" w:type="default"/>
      <w:pgSz w:w="11906" w:h="16838"/>
      <w:pgMar w:top="2098" w:right="1474" w:bottom="1984" w:left="1587" w:header="851" w:footer="1400" w:gutter="0"/>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embedRegular r:id="rId1" w:fontKey="{C7335A72-3B05-4E16-B9B8-A4FD70F46587}"/>
  </w:font>
  <w:font w:name="方正小标宋_GBK">
    <w:panose1 w:val="02000000000000000000"/>
    <w:charset w:val="86"/>
    <w:family w:val="auto"/>
    <w:pitch w:val="default"/>
    <w:sig w:usb0="A00002BF" w:usb1="38CF7CFA" w:usb2="00082016" w:usb3="00000000" w:csb0="00040001" w:csb1="00000000"/>
    <w:embedRegular r:id="rId2" w:fontKey="{82F93E31-B2B2-4255-8465-9AAD452B578D}"/>
  </w:font>
  <w:font w:name="长城小标宋体">
    <w:altName w:val="宋体"/>
    <w:panose1 w:val="02010609010101010101"/>
    <w:charset w:val="86"/>
    <w:family w:val="swiss"/>
    <w:pitch w:val="default"/>
    <w:sig w:usb0="00000000" w:usb1="00000000" w:usb2="00000000" w:usb3="00000000" w:csb0="00040001" w:csb1="00000000"/>
    <w:embedRegular r:id="rId3" w:fontKey="{06462CB4-3ABF-4279-8142-6BE29B830C89}"/>
  </w:font>
  <w:font w:name="仿宋">
    <w:panose1 w:val="02010609060101010101"/>
    <w:charset w:val="86"/>
    <w:family w:val="modern"/>
    <w:pitch w:val="default"/>
    <w:sig w:usb0="00000000" w:usb1="00000000" w:usb2="00000000" w:usb3="00000000" w:csb0="00000000" w:csb1="00000000"/>
    <w:embedRegular r:id="rId4" w:fontKey="{F3E8F83F-97D3-44E0-BDEF-7F405351BD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1408"/>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keepNext w:val="0"/>
                            <w:keepLines w:val="0"/>
                            <w:pageBreakBefore w:val="0"/>
                            <w:widowControl w:val="0"/>
                            <w:kinsoku/>
                            <w:wordWrap/>
                            <w:overflowPunct/>
                            <w:topLinePunct w:val="0"/>
                            <w:autoSpaceDE/>
                            <w:autoSpaceDN/>
                            <w:bidi w:val="0"/>
                            <w:adjustRightInd/>
                            <w:snapToGrid w:val="0"/>
                            <w:ind w:left="320" w:leftChars="100" w:right="320" w:rightChars="100"/>
                            <w:jc w:val="center"/>
                            <w:textAlignment w:val="auto"/>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- 1 -</w:t>
                          </w:r>
                          <w:r>
                            <w:rPr>
                              <w:rFonts w:hint="eastAsia" w:ascii="宋体" w:hAnsi="宋体" w:eastAsia="宋体" w:cs="宋体"/>
                            </w:rPr>
                            <w:fldChar w:fldCharType="end"/>
                          </w:r>
                          <w:r>
                            <w:rPr>
                              <w:rFonts w:hint="eastAsia" w:ascii="宋体" w:hAnsi="宋体" w:eastAsia="宋体" w:cs="宋体"/>
                            </w:rPr>
                            <w:t xml:space="preserve"> —</w:t>
                          </w:r>
                        </w:p>
                      </w:txbxContent>
                    </wps:txbx>
                    <wps:bodyPr vert="horz" wrap="none" lIns="0" tIns="0" rIns="0" bIns="0" anchor="t"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GmCS9MAAAAFAQAADwAAAAAAAAABACAAAAAiAAAAZHJzL2Rvd25yZXYu&#10;eG1sUEsBAhQAFAAAAAgAh07iQKs+0mXHAQAAbQMAAA4AAAAAAAAAAQAgAAAAIgEAAGRycy9lMm9E&#10;b2MueG1sUEsFBgAAAAAGAAYAWQEAAFsFAAAAAA==&#10;">
              <v:fill on="f" focussize="0,0"/>
              <v:stroke on="f" weight="1.25pt"/>
              <v:imagedata o:title=""/>
              <o:lock v:ext="edit" aspectratio="f"/>
              <v:textbox inset="0mm,0mm,0mm,0mm" style="mso-fit-shape-to-text:t;">
                <w:txbxContent>
                  <w:p>
                    <w:pPr>
                      <w:pStyle w:val="8"/>
                      <w:keepNext w:val="0"/>
                      <w:keepLines w:val="0"/>
                      <w:pageBreakBefore w:val="0"/>
                      <w:widowControl w:val="0"/>
                      <w:kinsoku/>
                      <w:wordWrap/>
                      <w:overflowPunct/>
                      <w:topLinePunct w:val="0"/>
                      <w:autoSpaceDE/>
                      <w:autoSpaceDN/>
                      <w:bidi w:val="0"/>
                      <w:adjustRightInd/>
                      <w:snapToGrid w:val="0"/>
                      <w:ind w:left="320" w:leftChars="100" w:right="320" w:rightChars="100"/>
                      <w:jc w:val="center"/>
                      <w:textAlignment w:val="auto"/>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- 1 -</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MzQyZGY3Zjc0NWFhOGZjNjhlOTBkMDZmYjlhZDcifQ=="/>
  </w:docVars>
  <w:rsids>
    <w:rsidRoot w:val="00172A27"/>
    <w:rsid w:val="000D65FE"/>
    <w:rsid w:val="00185477"/>
    <w:rsid w:val="00195771"/>
    <w:rsid w:val="005E182E"/>
    <w:rsid w:val="0072796C"/>
    <w:rsid w:val="007E2E26"/>
    <w:rsid w:val="00A149F8"/>
    <w:rsid w:val="00A85AEA"/>
    <w:rsid w:val="00BA6287"/>
    <w:rsid w:val="00BD4027"/>
    <w:rsid w:val="00D25255"/>
    <w:rsid w:val="00D42A18"/>
    <w:rsid w:val="00F11060"/>
    <w:rsid w:val="00F32DC4"/>
    <w:rsid w:val="00FC4102"/>
    <w:rsid w:val="00FF4191"/>
    <w:rsid w:val="015F18F1"/>
    <w:rsid w:val="01787D53"/>
    <w:rsid w:val="018C63C7"/>
    <w:rsid w:val="018D66AB"/>
    <w:rsid w:val="01CC33E2"/>
    <w:rsid w:val="02C53884"/>
    <w:rsid w:val="02F82C27"/>
    <w:rsid w:val="031A3187"/>
    <w:rsid w:val="031A44EB"/>
    <w:rsid w:val="032E6194"/>
    <w:rsid w:val="03A9260B"/>
    <w:rsid w:val="0429591A"/>
    <w:rsid w:val="043E68A0"/>
    <w:rsid w:val="04A46F9C"/>
    <w:rsid w:val="0596246C"/>
    <w:rsid w:val="05ED27EA"/>
    <w:rsid w:val="05F71493"/>
    <w:rsid w:val="06D54554"/>
    <w:rsid w:val="06D933D1"/>
    <w:rsid w:val="0715212E"/>
    <w:rsid w:val="078D70C7"/>
    <w:rsid w:val="07CA1F4B"/>
    <w:rsid w:val="07E11D73"/>
    <w:rsid w:val="08331281"/>
    <w:rsid w:val="08616DB9"/>
    <w:rsid w:val="08775793"/>
    <w:rsid w:val="08792369"/>
    <w:rsid w:val="09097FE0"/>
    <w:rsid w:val="092F0D8B"/>
    <w:rsid w:val="094D6910"/>
    <w:rsid w:val="096C318B"/>
    <w:rsid w:val="09E9764E"/>
    <w:rsid w:val="09FA42BC"/>
    <w:rsid w:val="0A5D76D5"/>
    <w:rsid w:val="0A61577B"/>
    <w:rsid w:val="0A7B577C"/>
    <w:rsid w:val="0AB774BD"/>
    <w:rsid w:val="0AC53B39"/>
    <w:rsid w:val="0ACC0AAF"/>
    <w:rsid w:val="0B197CF9"/>
    <w:rsid w:val="0B502757"/>
    <w:rsid w:val="0B952108"/>
    <w:rsid w:val="0BDE0664"/>
    <w:rsid w:val="0C15767E"/>
    <w:rsid w:val="0C1F2AF1"/>
    <w:rsid w:val="0C2579B0"/>
    <w:rsid w:val="0CC32F58"/>
    <w:rsid w:val="0CF46ECB"/>
    <w:rsid w:val="0D213013"/>
    <w:rsid w:val="0D91140C"/>
    <w:rsid w:val="0E3469C7"/>
    <w:rsid w:val="0E6448D6"/>
    <w:rsid w:val="0E777AE7"/>
    <w:rsid w:val="0EAF43DE"/>
    <w:rsid w:val="0ED53A7E"/>
    <w:rsid w:val="0EDD0DC5"/>
    <w:rsid w:val="0F7F007E"/>
    <w:rsid w:val="0FD92605"/>
    <w:rsid w:val="0FEC177C"/>
    <w:rsid w:val="0FFE664D"/>
    <w:rsid w:val="100364FF"/>
    <w:rsid w:val="103B7788"/>
    <w:rsid w:val="10522FEF"/>
    <w:rsid w:val="10DD3C30"/>
    <w:rsid w:val="114409BB"/>
    <w:rsid w:val="118A583A"/>
    <w:rsid w:val="11AB161E"/>
    <w:rsid w:val="120B5B40"/>
    <w:rsid w:val="128F4344"/>
    <w:rsid w:val="12C4743D"/>
    <w:rsid w:val="12CC1965"/>
    <w:rsid w:val="12F12A42"/>
    <w:rsid w:val="13011C59"/>
    <w:rsid w:val="133B1CEE"/>
    <w:rsid w:val="13AE4E85"/>
    <w:rsid w:val="13B637EE"/>
    <w:rsid w:val="13C53A6B"/>
    <w:rsid w:val="13FB4540"/>
    <w:rsid w:val="1462629F"/>
    <w:rsid w:val="14685EDE"/>
    <w:rsid w:val="146F52F2"/>
    <w:rsid w:val="146F6F8B"/>
    <w:rsid w:val="14C966FE"/>
    <w:rsid w:val="14CC2F4C"/>
    <w:rsid w:val="14D3356D"/>
    <w:rsid w:val="154F3C02"/>
    <w:rsid w:val="15727536"/>
    <w:rsid w:val="15AC5B77"/>
    <w:rsid w:val="15D56CBB"/>
    <w:rsid w:val="1631735A"/>
    <w:rsid w:val="165B3E07"/>
    <w:rsid w:val="169A5AFB"/>
    <w:rsid w:val="16C422B6"/>
    <w:rsid w:val="16E45A08"/>
    <w:rsid w:val="16FA46CA"/>
    <w:rsid w:val="174D577D"/>
    <w:rsid w:val="17860275"/>
    <w:rsid w:val="178F4489"/>
    <w:rsid w:val="17B133ED"/>
    <w:rsid w:val="17D708FF"/>
    <w:rsid w:val="17E24D44"/>
    <w:rsid w:val="182418A0"/>
    <w:rsid w:val="18976846"/>
    <w:rsid w:val="18B0292B"/>
    <w:rsid w:val="190328D6"/>
    <w:rsid w:val="190D59D7"/>
    <w:rsid w:val="19803717"/>
    <w:rsid w:val="19B71713"/>
    <w:rsid w:val="1A1E5314"/>
    <w:rsid w:val="1A2D11C3"/>
    <w:rsid w:val="1B9C3E41"/>
    <w:rsid w:val="1BCE1F9A"/>
    <w:rsid w:val="1C393B9A"/>
    <w:rsid w:val="1C7775D8"/>
    <w:rsid w:val="1C9B7D67"/>
    <w:rsid w:val="1CE27EE1"/>
    <w:rsid w:val="1D77702C"/>
    <w:rsid w:val="1D835D76"/>
    <w:rsid w:val="1E0A3CD7"/>
    <w:rsid w:val="1ECB3F8A"/>
    <w:rsid w:val="1EE80E3B"/>
    <w:rsid w:val="1EF54843"/>
    <w:rsid w:val="1F1267DB"/>
    <w:rsid w:val="1F481B83"/>
    <w:rsid w:val="1FBB471C"/>
    <w:rsid w:val="20591E56"/>
    <w:rsid w:val="20C2557F"/>
    <w:rsid w:val="20DF736F"/>
    <w:rsid w:val="21551024"/>
    <w:rsid w:val="21AA60F4"/>
    <w:rsid w:val="21D309CC"/>
    <w:rsid w:val="21FE2464"/>
    <w:rsid w:val="22243A46"/>
    <w:rsid w:val="22593588"/>
    <w:rsid w:val="226F5030"/>
    <w:rsid w:val="229D0B39"/>
    <w:rsid w:val="22A80E86"/>
    <w:rsid w:val="22C733F0"/>
    <w:rsid w:val="22F7442F"/>
    <w:rsid w:val="232E093E"/>
    <w:rsid w:val="234226A5"/>
    <w:rsid w:val="23B730AC"/>
    <w:rsid w:val="24056ACE"/>
    <w:rsid w:val="241947F6"/>
    <w:rsid w:val="24836185"/>
    <w:rsid w:val="24B05E88"/>
    <w:rsid w:val="24BF0A9F"/>
    <w:rsid w:val="25685A30"/>
    <w:rsid w:val="25F42ED8"/>
    <w:rsid w:val="26B17418"/>
    <w:rsid w:val="26D72860"/>
    <w:rsid w:val="26F9453B"/>
    <w:rsid w:val="27180AB7"/>
    <w:rsid w:val="27644B72"/>
    <w:rsid w:val="2839328C"/>
    <w:rsid w:val="285821B1"/>
    <w:rsid w:val="288D691B"/>
    <w:rsid w:val="28AF6403"/>
    <w:rsid w:val="28CB2862"/>
    <w:rsid w:val="29176602"/>
    <w:rsid w:val="296E5E07"/>
    <w:rsid w:val="29741D8C"/>
    <w:rsid w:val="29C56816"/>
    <w:rsid w:val="2B3D0C03"/>
    <w:rsid w:val="2B9D634A"/>
    <w:rsid w:val="2BB736C3"/>
    <w:rsid w:val="2BB948AD"/>
    <w:rsid w:val="2BF321E1"/>
    <w:rsid w:val="2BFB3345"/>
    <w:rsid w:val="2BFB4C0D"/>
    <w:rsid w:val="2CA417DB"/>
    <w:rsid w:val="2CDA4260"/>
    <w:rsid w:val="2CEB3C57"/>
    <w:rsid w:val="2CF45BCA"/>
    <w:rsid w:val="2D575F97"/>
    <w:rsid w:val="2D6A16A2"/>
    <w:rsid w:val="2D7645BE"/>
    <w:rsid w:val="2D984D5A"/>
    <w:rsid w:val="2DEF0840"/>
    <w:rsid w:val="2E516CF8"/>
    <w:rsid w:val="2E824344"/>
    <w:rsid w:val="2E9B3758"/>
    <w:rsid w:val="2EAC01B6"/>
    <w:rsid w:val="2EB42F00"/>
    <w:rsid w:val="2EBF4969"/>
    <w:rsid w:val="2EC1110E"/>
    <w:rsid w:val="2EE60566"/>
    <w:rsid w:val="2F097BB8"/>
    <w:rsid w:val="2F85432F"/>
    <w:rsid w:val="2FD5344F"/>
    <w:rsid w:val="2FE76C91"/>
    <w:rsid w:val="30194549"/>
    <w:rsid w:val="30CF52C9"/>
    <w:rsid w:val="31455663"/>
    <w:rsid w:val="3165752E"/>
    <w:rsid w:val="316925AB"/>
    <w:rsid w:val="31DA41BA"/>
    <w:rsid w:val="321D4E46"/>
    <w:rsid w:val="32313B3B"/>
    <w:rsid w:val="32422B2A"/>
    <w:rsid w:val="327D5944"/>
    <w:rsid w:val="32862CEE"/>
    <w:rsid w:val="328717EB"/>
    <w:rsid w:val="32936B2F"/>
    <w:rsid w:val="32E747B3"/>
    <w:rsid w:val="3387788C"/>
    <w:rsid w:val="33D4015C"/>
    <w:rsid w:val="341343FB"/>
    <w:rsid w:val="34B71A7F"/>
    <w:rsid w:val="34C074B8"/>
    <w:rsid w:val="34E95F4E"/>
    <w:rsid w:val="34F34DE5"/>
    <w:rsid w:val="359B7C5C"/>
    <w:rsid w:val="35A82394"/>
    <w:rsid w:val="35C673C5"/>
    <w:rsid w:val="362E239E"/>
    <w:rsid w:val="368F6C68"/>
    <w:rsid w:val="36940D18"/>
    <w:rsid w:val="369F11A0"/>
    <w:rsid w:val="36FE5FA7"/>
    <w:rsid w:val="373D04CE"/>
    <w:rsid w:val="37553354"/>
    <w:rsid w:val="37D30F93"/>
    <w:rsid w:val="384455AE"/>
    <w:rsid w:val="387B6797"/>
    <w:rsid w:val="38AD7B2A"/>
    <w:rsid w:val="38C9449E"/>
    <w:rsid w:val="39440601"/>
    <w:rsid w:val="39444F6B"/>
    <w:rsid w:val="3979066B"/>
    <w:rsid w:val="39AA3AF6"/>
    <w:rsid w:val="39DE4457"/>
    <w:rsid w:val="3A1A21D6"/>
    <w:rsid w:val="3A1D6F78"/>
    <w:rsid w:val="3A704970"/>
    <w:rsid w:val="3B0D0281"/>
    <w:rsid w:val="3B1D07D4"/>
    <w:rsid w:val="3B34576A"/>
    <w:rsid w:val="3BA32C9C"/>
    <w:rsid w:val="3BA513FB"/>
    <w:rsid w:val="3BD50A4A"/>
    <w:rsid w:val="3CE636AC"/>
    <w:rsid w:val="3CED005A"/>
    <w:rsid w:val="3CF2087D"/>
    <w:rsid w:val="3CFD477A"/>
    <w:rsid w:val="3D08442A"/>
    <w:rsid w:val="3D5B6AD0"/>
    <w:rsid w:val="3DB114C5"/>
    <w:rsid w:val="3DB241CE"/>
    <w:rsid w:val="3DEF480B"/>
    <w:rsid w:val="3E075D5D"/>
    <w:rsid w:val="3E7B0B8E"/>
    <w:rsid w:val="3E7F2E17"/>
    <w:rsid w:val="3F2C2021"/>
    <w:rsid w:val="3F6A0496"/>
    <w:rsid w:val="3F8C52B6"/>
    <w:rsid w:val="3FAD0236"/>
    <w:rsid w:val="3FE26B5C"/>
    <w:rsid w:val="402B5DDE"/>
    <w:rsid w:val="40633F77"/>
    <w:rsid w:val="4071776A"/>
    <w:rsid w:val="40767649"/>
    <w:rsid w:val="40851CDF"/>
    <w:rsid w:val="40A24342"/>
    <w:rsid w:val="40D507D6"/>
    <w:rsid w:val="40E73957"/>
    <w:rsid w:val="41346532"/>
    <w:rsid w:val="41B952ED"/>
    <w:rsid w:val="41D97A08"/>
    <w:rsid w:val="41DC15D8"/>
    <w:rsid w:val="41DD0FA1"/>
    <w:rsid w:val="4263682E"/>
    <w:rsid w:val="427C2C06"/>
    <w:rsid w:val="42904B5F"/>
    <w:rsid w:val="42A36718"/>
    <w:rsid w:val="42E730A7"/>
    <w:rsid w:val="43034CEB"/>
    <w:rsid w:val="430E0D82"/>
    <w:rsid w:val="43657ED0"/>
    <w:rsid w:val="439A0CE1"/>
    <w:rsid w:val="445C260B"/>
    <w:rsid w:val="44767A72"/>
    <w:rsid w:val="448B3242"/>
    <w:rsid w:val="44EF7849"/>
    <w:rsid w:val="453F082F"/>
    <w:rsid w:val="459170DE"/>
    <w:rsid w:val="45D6580A"/>
    <w:rsid w:val="46500702"/>
    <w:rsid w:val="465D1FFE"/>
    <w:rsid w:val="478276E2"/>
    <w:rsid w:val="47A81D69"/>
    <w:rsid w:val="48714ACA"/>
    <w:rsid w:val="48AD3DE1"/>
    <w:rsid w:val="48AD58F6"/>
    <w:rsid w:val="48C94B4A"/>
    <w:rsid w:val="48E803B5"/>
    <w:rsid w:val="491A6B2E"/>
    <w:rsid w:val="493D4634"/>
    <w:rsid w:val="49453E79"/>
    <w:rsid w:val="49AD2A4B"/>
    <w:rsid w:val="4A1246AB"/>
    <w:rsid w:val="4A555101"/>
    <w:rsid w:val="4A675A40"/>
    <w:rsid w:val="4B0E37FB"/>
    <w:rsid w:val="4B12344D"/>
    <w:rsid w:val="4B774383"/>
    <w:rsid w:val="4B78615A"/>
    <w:rsid w:val="4C100C5A"/>
    <w:rsid w:val="4CDD7811"/>
    <w:rsid w:val="4DA96711"/>
    <w:rsid w:val="4DB13719"/>
    <w:rsid w:val="4DC94283"/>
    <w:rsid w:val="4DD368CC"/>
    <w:rsid w:val="4DF73079"/>
    <w:rsid w:val="4E167C62"/>
    <w:rsid w:val="4E7D3127"/>
    <w:rsid w:val="4F2E52F4"/>
    <w:rsid w:val="4F5261E6"/>
    <w:rsid w:val="4FD814B9"/>
    <w:rsid w:val="4FEE60A1"/>
    <w:rsid w:val="500F4E14"/>
    <w:rsid w:val="50562898"/>
    <w:rsid w:val="50EF681B"/>
    <w:rsid w:val="51220268"/>
    <w:rsid w:val="51357C48"/>
    <w:rsid w:val="5137314B"/>
    <w:rsid w:val="513A40D0"/>
    <w:rsid w:val="514C3DA8"/>
    <w:rsid w:val="515C3ACA"/>
    <w:rsid w:val="51B44F2F"/>
    <w:rsid w:val="51B7147F"/>
    <w:rsid w:val="51F552CD"/>
    <w:rsid w:val="521627B9"/>
    <w:rsid w:val="522302B6"/>
    <w:rsid w:val="52617FB0"/>
    <w:rsid w:val="52C04708"/>
    <w:rsid w:val="52E65B42"/>
    <w:rsid w:val="535B58C8"/>
    <w:rsid w:val="537A7C03"/>
    <w:rsid w:val="5387081D"/>
    <w:rsid w:val="539B0CC3"/>
    <w:rsid w:val="53F42EC1"/>
    <w:rsid w:val="5439230A"/>
    <w:rsid w:val="544B1E16"/>
    <w:rsid w:val="54633683"/>
    <w:rsid w:val="54770E0D"/>
    <w:rsid w:val="548C409D"/>
    <w:rsid w:val="54FA21AA"/>
    <w:rsid w:val="54FB2AC3"/>
    <w:rsid w:val="554B7717"/>
    <w:rsid w:val="556369E6"/>
    <w:rsid w:val="55C64FFE"/>
    <w:rsid w:val="55D54B26"/>
    <w:rsid w:val="562E2480"/>
    <w:rsid w:val="56A53CC2"/>
    <w:rsid w:val="56CC1976"/>
    <w:rsid w:val="570F4566"/>
    <w:rsid w:val="5713361D"/>
    <w:rsid w:val="57383F64"/>
    <w:rsid w:val="57916981"/>
    <w:rsid w:val="57C65FED"/>
    <w:rsid w:val="58086F44"/>
    <w:rsid w:val="5812180A"/>
    <w:rsid w:val="58695A9C"/>
    <w:rsid w:val="5900187A"/>
    <w:rsid w:val="590537BE"/>
    <w:rsid w:val="59081577"/>
    <w:rsid w:val="591A0542"/>
    <w:rsid w:val="59774682"/>
    <w:rsid w:val="59882677"/>
    <w:rsid w:val="59B17E6E"/>
    <w:rsid w:val="5A4A272E"/>
    <w:rsid w:val="5A82030A"/>
    <w:rsid w:val="5AEA6A34"/>
    <w:rsid w:val="5B353E8B"/>
    <w:rsid w:val="5B9325DF"/>
    <w:rsid w:val="5B941132"/>
    <w:rsid w:val="5C114298"/>
    <w:rsid w:val="5C814104"/>
    <w:rsid w:val="5CCB27CD"/>
    <w:rsid w:val="5D1D0058"/>
    <w:rsid w:val="5D385236"/>
    <w:rsid w:val="5D3C33F5"/>
    <w:rsid w:val="5D6D0A45"/>
    <w:rsid w:val="5D9636BB"/>
    <w:rsid w:val="5D9A411F"/>
    <w:rsid w:val="5DC91C87"/>
    <w:rsid w:val="5DCC5F46"/>
    <w:rsid w:val="5E0C4504"/>
    <w:rsid w:val="5EF15441"/>
    <w:rsid w:val="5EF65163"/>
    <w:rsid w:val="5F074690"/>
    <w:rsid w:val="5F1B13AB"/>
    <w:rsid w:val="5F9B44AA"/>
    <w:rsid w:val="5FDD24AE"/>
    <w:rsid w:val="6070647A"/>
    <w:rsid w:val="60ED03B4"/>
    <w:rsid w:val="61A45B43"/>
    <w:rsid w:val="61F45624"/>
    <w:rsid w:val="62204B76"/>
    <w:rsid w:val="622D4115"/>
    <w:rsid w:val="62D41CCA"/>
    <w:rsid w:val="62EC7B4A"/>
    <w:rsid w:val="62F52B2C"/>
    <w:rsid w:val="631F02A7"/>
    <w:rsid w:val="64475BFD"/>
    <w:rsid w:val="645101AE"/>
    <w:rsid w:val="645C40EC"/>
    <w:rsid w:val="64661BB4"/>
    <w:rsid w:val="64CA047F"/>
    <w:rsid w:val="64DF05BB"/>
    <w:rsid w:val="64F64B60"/>
    <w:rsid w:val="652B6A37"/>
    <w:rsid w:val="656C2776"/>
    <w:rsid w:val="6589499F"/>
    <w:rsid w:val="659B3C07"/>
    <w:rsid w:val="65A2752B"/>
    <w:rsid w:val="664046F4"/>
    <w:rsid w:val="667964A7"/>
    <w:rsid w:val="66A777B8"/>
    <w:rsid w:val="66D85B56"/>
    <w:rsid w:val="673478C2"/>
    <w:rsid w:val="67CB2F0C"/>
    <w:rsid w:val="6870498C"/>
    <w:rsid w:val="689F1AB5"/>
    <w:rsid w:val="68B44ADD"/>
    <w:rsid w:val="68E44A07"/>
    <w:rsid w:val="68FA0A5C"/>
    <w:rsid w:val="69250E15"/>
    <w:rsid w:val="698475C4"/>
    <w:rsid w:val="69B079E4"/>
    <w:rsid w:val="6A7B3658"/>
    <w:rsid w:val="6AAA113C"/>
    <w:rsid w:val="6AF907C9"/>
    <w:rsid w:val="6B5532AA"/>
    <w:rsid w:val="6B5D0AD8"/>
    <w:rsid w:val="6B640671"/>
    <w:rsid w:val="6C2218D5"/>
    <w:rsid w:val="6C3703ED"/>
    <w:rsid w:val="6C662755"/>
    <w:rsid w:val="6CCE7D4F"/>
    <w:rsid w:val="6D292223"/>
    <w:rsid w:val="6D3574BF"/>
    <w:rsid w:val="6DF63843"/>
    <w:rsid w:val="6E1B655F"/>
    <w:rsid w:val="6EED0E08"/>
    <w:rsid w:val="6F0F18E7"/>
    <w:rsid w:val="6F1E786C"/>
    <w:rsid w:val="6FC77414"/>
    <w:rsid w:val="700F26E5"/>
    <w:rsid w:val="703F06CF"/>
    <w:rsid w:val="7045786C"/>
    <w:rsid w:val="71013789"/>
    <w:rsid w:val="715D0E11"/>
    <w:rsid w:val="71AE6E70"/>
    <w:rsid w:val="71F0647E"/>
    <w:rsid w:val="72155DF6"/>
    <w:rsid w:val="721645C5"/>
    <w:rsid w:val="72591983"/>
    <w:rsid w:val="72944BD6"/>
    <w:rsid w:val="72AD062D"/>
    <w:rsid w:val="735F0C37"/>
    <w:rsid w:val="7408106C"/>
    <w:rsid w:val="743E1048"/>
    <w:rsid w:val="74C63070"/>
    <w:rsid w:val="74CF009A"/>
    <w:rsid w:val="74CF75A5"/>
    <w:rsid w:val="75687968"/>
    <w:rsid w:val="75A3300B"/>
    <w:rsid w:val="76405022"/>
    <w:rsid w:val="767A3C39"/>
    <w:rsid w:val="768A3005"/>
    <w:rsid w:val="76CC1F4A"/>
    <w:rsid w:val="76FE76E1"/>
    <w:rsid w:val="771241D0"/>
    <w:rsid w:val="778A7BB4"/>
    <w:rsid w:val="77F97E77"/>
    <w:rsid w:val="78263502"/>
    <w:rsid w:val="78582600"/>
    <w:rsid w:val="78BD1639"/>
    <w:rsid w:val="79B267D3"/>
    <w:rsid w:val="79E26BBE"/>
    <w:rsid w:val="7A0E7ADD"/>
    <w:rsid w:val="7A1E7E6D"/>
    <w:rsid w:val="7A3E7766"/>
    <w:rsid w:val="7A852806"/>
    <w:rsid w:val="7AED1494"/>
    <w:rsid w:val="7B4975AF"/>
    <w:rsid w:val="7BDE3F12"/>
    <w:rsid w:val="7BF817F1"/>
    <w:rsid w:val="7C4E50AF"/>
    <w:rsid w:val="7C8D55B0"/>
    <w:rsid w:val="7CCF06E5"/>
    <w:rsid w:val="7CF3041F"/>
    <w:rsid w:val="7CF96E16"/>
    <w:rsid w:val="7D0C0045"/>
    <w:rsid w:val="7D307209"/>
    <w:rsid w:val="7D3A69F6"/>
    <w:rsid w:val="7D412520"/>
    <w:rsid w:val="7DF371C4"/>
    <w:rsid w:val="7DF81D3A"/>
    <w:rsid w:val="7E233DBA"/>
    <w:rsid w:val="7E9F570A"/>
    <w:rsid w:val="7EDC788D"/>
    <w:rsid w:val="7EE03285"/>
    <w:rsid w:val="7F1230D2"/>
    <w:rsid w:val="7F3663C0"/>
    <w:rsid w:val="7F553DB2"/>
    <w:rsid w:val="7F5B1440"/>
    <w:rsid w:val="7F5D5F49"/>
    <w:rsid w:val="7F8F2626"/>
    <w:rsid w:val="7FB23D21"/>
    <w:rsid w:val="7FFC2B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32"/>
      <w:szCs w:val="28"/>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keepNext/>
      <w:keepLines/>
      <w:spacing w:before="30" w:beforeLines="30" w:after="30" w:afterLines="30" w:line="360" w:lineRule="auto"/>
      <w:jc w:val="left"/>
      <w:outlineLvl w:val="2"/>
    </w:pPr>
    <w:rPr>
      <w:b/>
      <w:kern w:val="0"/>
      <w:sz w:val="30"/>
    </w:rPr>
  </w:style>
  <w:style w:type="character" w:default="1" w:styleId="13">
    <w:name w:val="Default Paragraph Font"/>
    <w:uiPriority w:val="0"/>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spacing w:after="120" w:afterLines="0" w:afterAutospacing="0"/>
    </w:pPr>
    <w:rPr>
      <w:kern w:val="2"/>
      <w:sz w:val="21"/>
    </w:rPr>
  </w:style>
  <w:style w:type="paragraph" w:styleId="6">
    <w:name w:val="Body Text Indent"/>
    <w:basedOn w:val="1"/>
    <w:next w:val="7"/>
    <w:unhideWhenUsed/>
    <w:qFormat/>
    <w:uiPriority w:val="0"/>
    <w:pPr>
      <w:spacing w:after="120"/>
      <w:ind w:left="420" w:leftChars="200"/>
    </w:pPr>
  </w:style>
  <w:style w:type="paragraph" w:customStyle="1" w:styleId="7">
    <w:name w:val="样式 正文文本缩进 + 宋体 小四 居中 行距: 固定值 23 磅1"/>
    <w:basedOn w:val="1"/>
    <w:qFormat/>
    <w:uiPriority w:val="0"/>
    <w:pPr>
      <w:spacing w:line="460" w:lineRule="exact"/>
      <w:ind w:left="-181" w:leftChars="-86"/>
    </w:pPr>
    <w:rPr>
      <w:rFonts w:ascii="宋体" w:hAnsi="宋体" w:cs="宋体"/>
      <w:color w:val="000000"/>
    </w:rPr>
  </w:style>
  <w:style w:type="paragraph" w:styleId="8">
    <w:name w:val="footer"/>
    <w:basedOn w:val="1"/>
    <w:qFormat/>
    <w:uiPriority w:val="0"/>
    <w:pPr>
      <w:tabs>
        <w:tab w:val="center" w:pos="4153"/>
        <w:tab w:val="right" w:pos="8306"/>
      </w:tabs>
      <w:snapToGrid w:val="0"/>
      <w:jc w:val="left"/>
    </w:pPr>
    <w:rPr>
      <w:rFonts w:eastAsia="宋体"/>
      <w:sz w:val="2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Body Text First Indent"/>
    <w:basedOn w:val="5"/>
    <w:next w:val="1"/>
    <w:qFormat/>
    <w:uiPriority w:val="0"/>
    <w:pPr>
      <w:snapToGrid w:val="0"/>
      <w:spacing w:line="360" w:lineRule="auto"/>
      <w:ind w:firstLine="200" w:firstLineChars="200"/>
    </w:pPr>
    <w:rPr>
      <w:rFonts w:ascii="Courier New" w:hAnsi="Courier New" w:eastAsia="Times New Roman"/>
      <w:snapToGrid w:val="0"/>
      <w:color w:val="000000"/>
      <w:kern w:val="2"/>
    </w:rPr>
  </w:style>
  <w:style w:type="paragraph" w:styleId="11">
    <w:name w:val="Body Text First Indent 2"/>
    <w:basedOn w:val="1"/>
    <w:next w:val="10"/>
    <w:qFormat/>
    <w:uiPriority w:val="0"/>
    <w:pPr>
      <w:ind w:firstLine="420"/>
    </w:pPr>
  </w:style>
  <w:style w:type="paragraph" w:customStyle="1" w:styleId="14">
    <w:name w:val="5文章"/>
    <w:basedOn w:val="1"/>
    <w:next w:val="1"/>
    <w:qFormat/>
    <w:uiPriority w:val="0"/>
    <w:pPr>
      <w:ind w:firstLine="480" w:firstLineChars="200"/>
    </w:pPr>
    <w:rPr>
      <w:rFonts w:cs="Times New Roman"/>
    </w:rPr>
  </w:style>
  <w:style w:type="paragraph" w:customStyle="1" w:styleId="15">
    <w:name w:val="Table Text"/>
    <w:basedOn w:val="1"/>
    <w:qFormat/>
    <w:uiPriority w:val="0"/>
    <w:rPr>
      <w:rFonts w:ascii="宋体" w:hAnsi="宋体" w:eastAsia="宋体"/>
      <w:sz w:val="24"/>
      <w:lang w:val="en-US"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6</Pages>
  <Words>2668</Words>
  <Characters>2814</Characters>
  <Lines>7</Lines>
  <Paragraphs>2</Paragraphs>
  <TotalTime>152</TotalTime>
  <ScaleCrop>false</ScaleCrop>
  <LinksUpToDate>false</LinksUpToDate>
  <CharactersWithSpaces>2842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2017-02-22T05:04:00Z</dcterms:created>
  <dc:creator>Administrator</dc:creator>
  <cp:lastModifiedBy>Administrator</cp:lastModifiedBy>
  <cp:lastPrinted>2022-12-07T09:21:00Z</cp:lastPrinted>
  <dcterms:modified xsi:type="dcterms:W3CDTF">2026-07-27T01:59:15Z</dcterms:modified>
  <dc:title>台江区环保局2013年环保进社区活动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9B4B0E0AB4FC4D728CE93E337CC87C3A_13</vt:lpwstr>
  </property>
  <property fmtid="{D5CDD505-2E9C-101B-9397-08002B2CF9AE}" pid="4" name="KSOTemplateDocerSaveRecord">
    <vt:lpwstr>eyJoZGlkIjoiMDkxNDM5NTI3YTI2MzU0NTA3MzliODM2N2FlYTc2NjYiLCJ1c2VySWQiOiI0MjM3NjMwNzUifQ==</vt:lpwstr>
  </property>
</Properties>
</file>