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00F6F">
      <w:pPr>
        <w:pStyle w:val="21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20" w:lineRule="atLeast"/>
        <w:textAlignment w:val="auto"/>
        <w:rPr>
          <w:rFonts w:hint="eastAsia"/>
        </w:rPr>
      </w:pPr>
      <w:r>
        <w:rPr>
          <w:rFonts w:hint="eastAsia"/>
        </w:rPr>
        <w:t>榕环评〔202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</w:t>
      </w:r>
      <w:r>
        <w:rPr>
          <w:rFonts w:hint="eastAsia"/>
          <w:highlight w:val="none"/>
          <w:lang w:val="en-US" w:eastAsia="zh-CN"/>
        </w:rPr>
        <w:t>66</w:t>
      </w:r>
      <w:r>
        <w:rPr>
          <w:rFonts w:hint="eastAsia"/>
        </w:rPr>
        <w:t>号</w:t>
      </w:r>
    </w:p>
    <w:p w14:paraId="7023F40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福州市生态环境局关于国道G228线福清江镜前华至江阴莆头段（东港特大桥）公路工程</w:t>
      </w:r>
    </w:p>
    <w:p w14:paraId="0433269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b/>
          <w:bCs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环境影响报告书的审批意见</w:t>
      </w:r>
    </w:p>
    <w:p w14:paraId="65138245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20" w:lineRule="atLeast"/>
        <w:textAlignment w:val="auto"/>
        <w:rPr>
          <w:rFonts w:hint="default" w:eastAsia="仿宋_GB2312"/>
          <w:lang w:val="en-US" w:eastAsia="zh-CN"/>
        </w:rPr>
      </w:pPr>
    </w:p>
    <w:p w14:paraId="52FC3F9E">
      <w:pPr>
        <w:pStyle w:val="2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szCs w:val="32"/>
        </w:rPr>
      </w:pPr>
      <w:r>
        <w:rPr>
          <w:rFonts w:hint="eastAsia"/>
          <w:szCs w:val="32"/>
          <w:lang w:eastAsia="zh-CN"/>
        </w:rPr>
        <w:t>福清市交通建设投资集团有限公司</w:t>
      </w:r>
      <w:r>
        <w:rPr>
          <w:rFonts w:hint="eastAsia"/>
          <w:szCs w:val="32"/>
        </w:rPr>
        <w:t>：</w:t>
      </w:r>
    </w:p>
    <w:p w14:paraId="563BD6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你司报送的《</w:t>
      </w:r>
      <w:r>
        <w:rPr>
          <w:rFonts w:hint="eastAsia"/>
          <w:lang w:eastAsia="zh-CN"/>
        </w:rPr>
        <w:t>国道G228线福清江镜前华至江阴莆头段（东港特大桥）公路工程</w:t>
      </w:r>
      <w:r>
        <w:rPr>
          <w:rFonts w:hint="eastAsia"/>
          <w:lang w:val="en-US" w:eastAsia="zh-CN"/>
        </w:rPr>
        <w:t>环境影响报告书》（以下简称《报告书》）收悉。根据《中华人民共和国环境影响评价法》第二十二条等规定，经组织技术审查，并征求福州市福清生态环境局意见，现提出审批意见如下：</w:t>
      </w:r>
    </w:p>
    <w:p w14:paraId="7F7E6F6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lang w:eastAsia="zh-CN"/>
        </w:rPr>
        <w:t>国道G228线福清江镜前华至江阴莆头段（东港特大桥）公路工程</w:t>
      </w:r>
      <w:r>
        <w:rPr>
          <w:rFonts w:hint="eastAsia"/>
          <w:color w:val="auto"/>
          <w:highlight w:val="none"/>
          <w:lang w:val="en-US" w:eastAsia="zh-CN"/>
        </w:rPr>
        <w:t>位于福清市，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起点</w:t>
      </w:r>
      <w:r>
        <w:rPr>
          <w:rFonts w:hint="eastAsia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位于福清江镜镇前华村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顺接规划国道G228线福清江镜农场至江镜前华段，与蓝色大道平交后，途经前华村，设东港特大桥（3898米）跨越东港，终于江阴镇莆头村，顺接规划国道G228线福清江阴莆头至孙卓段。路线全长约4.5公里。同步建设配套滨海风景道和必要的交通设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6F57B9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根据《报告书》评价结论和福州市环境影响评价技术中心的技术评估报告（</w:t>
      </w:r>
      <w:r>
        <w:rPr>
          <w:rFonts w:hint="eastAsia"/>
          <w:highlight w:val="none"/>
          <w:lang w:val="en-US" w:eastAsia="zh-CN"/>
        </w:rPr>
        <w:t>编号</w:t>
      </w:r>
      <w:r>
        <w:rPr>
          <w:rFonts w:hint="eastAsia"/>
          <w:strike w:val="0"/>
          <w:highlight w:val="none"/>
          <w:lang w:val="en-US" w:eastAsia="zh-CN"/>
        </w:rPr>
        <w:t>2-2026-012</w:t>
      </w:r>
      <w:r>
        <w:rPr>
          <w:rFonts w:hint="eastAsia"/>
          <w:lang w:val="en-US" w:eastAsia="zh-CN"/>
        </w:rPr>
        <w:t>）</w:t>
      </w:r>
      <w:r>
        <w:rPr>
          <w:rFonts w:hint="eastAsia"/>
          <w:highlight w:val="none"/>
          <w:lang w:val="en-US" w:eastAsia="zh-CN"/>
        </w:rPr>
        <w:t>，</w:t>
      </w:r>
      <w:r>
        <w:rPr>
          <w:rFonts w:hint="eastAsia"/>
        </w:rPr>
        <w:t>该</w:t>
      </w:r>
      <w:r>
        <w:rPr>
          <w:rFonts w:hint="eastAsia"/>
          <w:lang w:eastAsia="zh-CN"/>
        </w:rPr>
        <w:t>项目建设符合国家产业政策和福州市生态环境分区管控要求，</w:t>
      </w:r>
      <w:r>
        <w:rPr>
          <w:rFonts w:hint="eastAsia"/>
          <w:lang w:val="en-US" w:eastAsia="zh-CN"/>
        </w:rPr>
        <w:t>符合《福建省普通国省干线公路网布局规划》《福州市“十四五”综合交通运输发展专项规划》《福州港总体规划（2035年）》等相关规划要求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lang w:val="en-US" w:eastAsia="zh-CN"/>
        </w:rPr>
        <w:t>在严格落实《报告书》提出的各项环境保护措施，加强环境管理的前提下，从环境影响角度分析，项目建设可行。</w:t>
      </w:r>
      <w:r>
        <w:rPr>
          <w:rFonts w:hint="eastAsia"/>
        </w:rPr>
        <w:t>同意</w:t>
      </w:r>
      <w:r>
        <w:rPr>
          <w:rFonts w:hint="eastAsia"/>
          <w:lang w:eastAsia="zh-CN"/>
        </w:rPr>
        <w:t>项目</w:t>
      </w:r>
      <w:r>
        <w:rPr>
          <w:rFonts w:hint="eastAsia"/>
        </w:rPr>
        <w:t>按照</w:t>
      </w:r>
      <w:r>
        <w:rPr>
          <w:rFonts w:hint="eastAsia"/>
          <w:lang w:val="en-US" w:eastAsia="zh-CN"/>
        </w:rPr>
        <w:t>《报告书》</w:t>
      </w:r>
      <w:r>
        <w:rPr>
          <w:rFonts w:hint="eastAsia"/>
        </w:rPr>
        <w:t>中所列的性质、规模、地点、采用的生产工艺</w:t>
      </w:r>
      <w:r>
        <w:rPr>
          <w:rFonts w:hint="eastAsia"/>
          <w:lang w:eastAsia="zh-CN"/>
        </w:rPr>
        <w:t>和</w:t>
      </w:r>
      <w:r>
        <w:rPr>
          <w:rFonts w:hint="eastAsia"/>
        </w:rPr>
        <w:t>防治污染、防止生态破坏的措施进行建设</w:t>
      </w:r>
      <w:r>
        <w:rPr>
          <w:rFonts w:hint="eastAsia"/>
          <w:lang w:val="en-US" w:eastAsia="zh-CN"/>
        </w:rPr>
        <w:t>。</w:t>
      </w:r>
    </w:p>
    <w:p w14:paraId="56CF55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二、项目应严格落实《报告书》提出的各项生态保护、污染防治、风险防控等措施，并重点做好以下工作</w:t>
      </w:r>
      <w:r>
        <w:rPr>
          <w:rFonts w:hint="eastAsia"/>
          <w:lang w:eastAsia="zh-CN"/>
        </w:rPr>
        <w:t>：</w:t>
      </w:r>
    </w:p>
    <w:p w14:paraId="15A6C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1.生态环境防治</w:t>
      </w:r>
    </w:p>
    <w:p w14:paraId="6CC5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Courier New" w:eastAsia="仿宋_GB2312" w:cs="Courier New"/>
          <w:color w:val="auto"/>
          <w:kern w:val="2"/>
          <w:sz w:val="32"/>
          <w:szCs w:val="32"/>
          <w:lang w:val="en-US" w:eastAsia="zh-CN" w:bidi="ar-SA"/>
        </w:rPr>
        <w:t>严格控制施工作业面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临时施工场地不得设置在生态保护红线、湿地范围内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表土剥离并妥善保存，用于后期覆土绿化。落实湿地保护措施，禁止将施工废水、生活污水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  <w:t>、固体废物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排入湿地。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  <w:t>落实增殖放流措施，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实施生态补偿计划。施工尽量避开候鸟越冬栖息季节，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 w:bidi="he-IL"/>
        </w:rPr>
        <w:t>采取降噪措施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避免施工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噪声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对候鸟的越冬栖息影响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2B098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2.水污染防治</w:t>
      </w:r>
    </w:p>
    <w:p w14:paraId="3567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eastAsia="zh-CN"/>
        </w:rPr>
        <w:t>严格落实</w:t>
      </w:r>
      <w:r>
        <w:rPr>
          <w:rFonts w:hint="eastAsia" w:cs="仿宋_GB2312"/>
          <w:bCs/>
          <w:color w:val="000000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eastAsia="zh-CN"/>
        </w:rPr>
        <w:t>报</w:t>
      </w:r>
      <w:r>
        <w:rPr>
          <w:rFonts w:hint="eastAsia" w:ascii="仿宋_GB2312" w:hAnsi="仿宋_GB2312" w:eastAsia="仿宋_GB2312" w:cs="仿宋_GB2312"/>
          <w:bCs w:val="0"/>
          <w:color w:val="auto"/>
          <w:sz w:val="32"/>
          <w:szCs w:val="32"/>
          <w:highlight w:val="none"/>
          <w:lang w:eastAsia="zh-CN" w:bidi="he-IL"/>
        </w:rPr>
        <w:t>告书</w:t>
      </w:r>
      <w:r>
        <w:rPr>
          <w:rFonts w:hint="eastAsia" w:cs="仿宋_GB2312"/>
          <w:bCs w:val="0"/>
          <w:color w:val="auto"/>
          <w:sz w:val="32"/>
          <w:szCs w:val="32"/>
          <w:highlight w:val="none"/>
          <w:lang w:eastAsia="zh-CN" w:bidi="he-IL"/>
        </w:rPr>
        <w:t>》</w:t>
      </w:r>
      <w:r>
        <w:rPr>
          <w:rFonts w:hint="eastAsia" w:ascii="仿宋_GB2312" w:hAnsi="仿宋_GB2312" w:eastAsia="仿宋_GB2312" w:cs="仿宋_GB2312"/>
          <w:bCs w:val="0"/>
          <w:color w:val="auto"/>
          <w:sz w:val="32"/>
          <w:szCs w:val="32"/>
          <w:highlight w:val="none"/>
          <w:lang w:eastAsia="zh-CN" w:bidi="he-IL"/>
        </w:rPr>
        <w:t>提出的施工期和运营期的水污染防治措施</w:t>
      </w:r>
      <w:r>
        <w:rPr>
          <w:rFonts w:hint="eastAsia" w:cs="仿宋_GB2312"/>
          <w:bCs w:val="0"/>
          <w:color w:val="auto"/>
          <w:sz w:val="32"/>
          <w:szCs w:val="32"/>
          <w:highlight w:val="none"/>
          <w:lang w:eastAsia="zh-CN" w:bidi="he-IL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bidi="he-IL"/>
        </w:rPr>
        <w:t>施工人员生活污水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经化粪池预处理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 w:bidi="he-IL"/>
        </w:rPr>
        <w:t>达到《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 w:bidi="he-IL"/>
        </w:rPr>
        <w:t>农田灌溉水质标准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 w:bidi="he-IL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后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 w:bidi="he-IL"/>
        </w:rPr>
        <w:t>，浇灌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周边农田林地。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bidi="he-IL"/>
        </w:rPr>
        <w:t>施工期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生产废水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bidi="he-IL"/>
        </w:rPr>
        <w:t>及车辆冲洗废水经隔油沉淀处理后回用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 w:bidi="he-IL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bidi="he-IL"/>
        </w:rPr>
        <w:t>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得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 w:bidi="he-IL"/>
        </w:rPr>
        <w:t>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bidi="he-IL"/>
        </w:rPr>
        <w:t>排。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施工船舶人员生活污水收集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  <w:t>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定期接收上岸委托处理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  <w:t>。</w:t>
      </w:r>
    </w:p>
    <w:p w14:paraId="5D73C0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3.大气污染防治</w:t>
      </w:r>
    </w:p>
    <w:p w14:paraId="6B83BC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易扬尘作业应采取湿法。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施工期加强场地道路洒水降尘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运输土石方、粉状材料应采用密闭运输等适当的防护措施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主要施工区主出入口设置洗车区，配套沉淀池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减少施工及车辆运输扬尘影响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在施工场界设置围挡，设置喷淋等降尘措施。</w:t>
      </w:r>
    </w:p>
    <w:p w14:paraId="519C0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4.噪声污染防治</w:t>
      </w:r>
    </w:p>
    <w:p w14:paraId="503E08D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合理安排施工时间和布置施工场地，临近敏感建筑物的施工场地设置临时隔声围墙。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要求在G228东港特大桥靠近前华村一侧设置380m（长）×5m（高）声屏障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。同时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加强对沿线声环境敏感目标的噪声监测，并预留资金，根据跟踪监测结果适时采取降噪措施。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你司应提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请并积极配合当地政府做好公路沿线两侧用地的规划控制，避免交通噪声对新增声环境敏感目标的噪声影响。</w:t>
      </w:r>
    </w:p>
    <w:p w14:paraId="46243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5.固废污染防治</w:t>
      </w:r>
    </w:p>
    <w:p w14:paraId="2D698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施工栈桥拔除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的材料应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运送到岸上指定的位置，不得违规倾倒海洋。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施工期生活垃圾定期委托环卫部门清运处理。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施工船舶生活垃圾经统一收集后交由有资质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  <w:t>单位处理。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机油及废机油桶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、隔油沉淀池废渣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he-IL"/>
        </w:rPr>
        <w:t>委托有资质的单位处置</w:t>
      </w:r>
      <w:r>
        <w:rPr>
          <w:rFonts w:hint="eastAsia" w:cs="仿宋_GB2312"/>
          <w:color w:val="auto"/>
          <w:sz w:val="32"/>
          <w:szCs w:val="32"/>
          <w:highlight w:val="none"/>
          <w:lang w:eastAsia="zh-CN" w:bidi="he-IL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 w:bidi="he-IL"/>
        </w:rPr>
        <w:t>余方按照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福清市建筑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 w:bidi="he-IL"/>
        </w:rPr>
        <w:t>垃圾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资源信息平台要求，按规定处置，不可随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意外抛。</w:t>
      </w:r>
    </w:p>
    <w:p w14:paraId="343E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6.环境风险防范</w:t>
      </w:r>
    </w:p>
    <w:p w14:paraId="21DF7C74">
      <w:pPr>
        <w:spacing w:line="50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highlight w:val="yellow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全路段设置警示牌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，按规范设计桥梁防撞等级。应设置路面径流收集系统，</w:t>
      </w:r>
      <w:r>
        <w:rPr>
          <w:rFonts w:hint="eastAsia" w:cs="仿宋_GB2312"/>
          <w:sz w:val="32"/>
          <w:szCs w:val="32"/>
          <w:lang w:eastAsia="zh-CN"/>
        </w:rPr>
        <w:t>并建设足够有</w:t>
      </w:r>
      <w:r>
        <w:rPr>
          <w:rFonts w:hint="eastAsia" w:cs="仿宋_GB2312"/>
          <w:color w:val="auto"/>
          <w:sz w:val="32"/>
          <w:szCs w:val="32"/>
          <w:highlight w:val="none"/>
          <w:lang w:eastAsia="zh-CN" w:bidi="he-IL"/>
        </w:rPr>
        <w:t>效容积的事故应急池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；运营期应加强危险化学品运输车辆事故环境风险管理</w:t>
      </w:r>
      <w:r>
        <w:rPr>
          <w:rFonts w:hint="eastAsia" w:cs="仿宋_GB2312"/>
          <w:color w:val="auto"/>
          <w:szCs w:val="32"/>
          <w:highlight w:val="none"/>
          <w:vertAlign w:val="baseline"/>
          <w:lang w:val="en-US" w:eastAsia="zh-CN" w:bidi="he-IL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he-IL"/>
        </w:rPr>
        <w:t>制</w:t>
      </w:r>
      <w:r>
        <w:rPr>
          <w:rFonts w:hint="eastAsia" w:ascii="仿宋_GB2312" w:hAnsi="仿宋_GB2312" w:eastAsia="仿宋_GB2312" w:cs="仿宋_GB2312"/>
          <w:sz w:val="32"/>
          <w:szCs w:val="32"/>
        </w:rPr>
        <w:t>定突发环境事件应急预案并报</w:t>
      </w:r>
      <w:r>
        <w:rPr>
          <w:rFonts w:hint="eastAsia" w:cs="仿宋_GB2312"/>
          <w:sz w:val="32"/>
          <w:szCs w:val="32"/>
          <w:lang w:eastAsia="zh-CN"/>
        </w:rPr>
        <w:t>福清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生态环境局备案。</w:t>
      </w:r>
    </w:p>
    <w:p w14:paraId="758B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三、排放标准</w:t>
      </w:r>
    </w:p>
    <w:p w14:paraId="2FE99171">
      <w:pPr>
        <w:spacing w:line="500" w:lineRule="exact"/>
        <w:ind w:firstLine="602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废气。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施工期扬尘执行《大气污染物综合排放标准》(GB16297-1996)表2中相应的无组织排放监控浓度限值。</w:t>
      </w:r>
    </w:p>
    <w:p w14:paraId="1C8720D6">
      <w:pPr>
        <w:widowControl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2.噪声。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施工期场界噪声排放执行《建筑施工噪声排放标准》（GB12523-2025）排放限值。运营期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沿线声环境执行《声环境质量标准》（GB3096-2008）中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临街建筑以高于三层楼房以上(含三层)的建筑为主，第一排建筑物面向街道一侧范围内执行4a类标准;临街建筑以低于三层楼房(含开阔地)的建筑为主，相邻区域为2类声环境功能区，道路边界外35米范围内执行4a类标准)。</w:t>
      </w:r>
    </w:p>
    <w:p w14:paraId="6C891F9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/>
        <w:textAlignment w:val="auto"/>
        <w:rPr>
          <w:rFonts w:hint="default" w:ascii="仿宋_GB2312" w:hAnsi="仿宋_GB2312" w:eastAsia="仿宋_GB2312" w:cs="仿宋_GB2312"/>
          <w:strike w:val="0"/>
          <w:dstrike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3.固废。</w:t>
      </w:r>
      <w:r>
        <w:rPr>
          <w:rFonts w:hint="eastAsia" w:cs="仿宋_GB2312"/>
          <w:color w:val="auto"/>
          <w:sz w:val="32"/>
          <w:szCs w:val="32"/>
          <w:lang w:eastAsia="zh-CN"/>
        </w:rPr>
        <w:t>一般固废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执行《一般工业固体废物贮存和填埋污染控制标准》（GB18599-2020）</w:t>
      </w:r>
      <w:r>
        <w:rPr>
          <w:rFonts w:hint="eastAsia" w:cs="仿宋_GB2312"/>
          <w:color w:val="auto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船舶垃圾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执行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《船舶水污染物排放标准》（GB3552-2018）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危险废物贮存执行《危险废物贮存污染控制标准》（GB18597-2023</w:t>
      </w:r>
      <w:r>
        <w:rPr>
          <w:rFonts w:hint="default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eastAsia="zh-CN"/>
        </w:rPr>
        <w:t>）要求</w:t>
      </w:r>
      <w:r>
        <w:rPr>
          <w:rFonts w:hint="eastAsia" w:cs="仿宋_GB2312"/>
          <w:strike w:val="0"/>
          <w:dstrike w:val="0"/>
          <w:color w:val="auto"/>
          <w:sz w:val="32"/>
          <w:szCs w:val="32"/>
          <w:highlight w:val="none"/>
          <w:lang w:eastAsia="zh-CN"/>
        </w:rPr>
        <w:t>。</w:t>
      </w:r>
    </w:p>
    <w:p w14:paraId="7154B1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四、《报告书》批准后，</w:t>
      </w:r>
      <w:r>
        <w:rPr>
          <w:rFonts w:hint="eastAsia"/>
          <w:lang w:eastAsia="zh-CN"/>
        </w:rPr>
        <w:t>如建设项目的性质、规模、地点、采用的生产工艺或者防治污染、防止生态破坏的措施发生重大变动的，应当依法重新报批项目环评。《报告</w:t>
      </w:r>
      <w:r>
        <w:rPr>
          <w:rFonts w:hint="eastAsia"/>
          <w:lang w:val="en-US" w:eastAsia="zh-CN"/>
        </w:rPr>
        <w:t>书</w:t>
      </w:r>
      <w:r>
        <w:rPr>
          <w:rFonts w:hint="eastAsia"/>
          <w:lang w:eastAsia="zh-CN"/>
        </w:rPr>
        <w:t>》自批准之日起满5年，方开工建设的，项目环评应当依法报我局重新审核。</w:t>
      </w:r>
    </w:p>
    <w:p w14:paraId="36291E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</w:t>
      </w:r>
      <w:r>
        <w:rPr>
          <w:rFonts w:hint="eastAsia"/>
          <w:lang w:eastAsia="zh-CN"/>
        </w:rPr>
        <w:t>项目应加强环境管理，推进落实各项生态环境保护措施。</w:t>
      </w:r>
      <w:r>
        <w:rPr>
          <w:rFonts w:hint="eastAsia"/>
        </w:rPr>
        <w:t>严格执行</w:t>
      </w:r>
      <w:r>
        <w:rPr>
          <w:rFonts w:hint="eastAsia"/>
          <w:lang w:eastAsia="zh-CN"/>
        </w:rPr>
        <w:t>环境保护</w:t>
      </w:r>
      <w:r>
        <w:rPr>
          <w:rFonts w:hint="eastAsia"/>
        </w:rPr>
        <w:t>“三同时”制度</w:t>
      </w:r>
      <w:r>
        <w:rPr>
          <w:rFonts w:hint="eastAsia"/>
          <w:lang w:eastAsia="zh-CN"/>
        </w:rPr>
        <w:t>，加强施工期环境管理。</w:t>
      </w:r>
      <w:r>
        <w:rPr>
          <w:rFonts w:hint="eastAsia"/>
        </w:rPr>
        <w:t>竣工</w:t>
      </w:r>
      <w:r>
        <w:rPr>
          <w:rFonts w:hint="eastAsia"/>
          <w:lang w:eastAsia="zh-CN"/>
        </w:rPr>
        <w:t>后应按规定程序实施</w:t>
      </w:r>
      <w:r>
        <w:rPr>
          <w:rFonts w:hint="eastAsia"/>
        </w:rPr>
        <w:t>竣工环境保护验收。</w:t>
      </w:r>
    </w:p>
    <w:p w14:paraId="5BAC24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highlight w:val="none"/>
        </w:rPr>
      </w:pPr>
      <w:r>
        <w:rPr>
          <w:rFonts w:hint="eastAsia"/>
          <w:lang w:val="en-US" w:eastAsia="zh-CN"/>
        </w:rPr>
        <w:t>六、我局委托福州市生态环境保护综合执法支队开展该项目环保“三同时”监督检查，竣工后，由</w:t>
      </w:r>
      <w:r>
        <w:rPr>
          <w:rFonts w:hint="eastAsia"/>
          <w:highlight w:val="none"/>
          <w:lang w:val="en-US" w:eastAsia="zh-CN"/>
        </w:rPr>
        <w:t>福州市福清生态环境局</w:t>
      </w:r>
      <w:r>
        <w:rPr>
          <w:rFonts w:hint="eastAsia"/>
          <w:lang w:val="en-US" w:eastAsia="zh-CN"/>
        </w:rPr>
        <w:t>负责该项目日常环保监督管理工作。</w:t>
      </w:r>
    </w:p>
    <w:p w14:paraId="7B12BB04">
      <w:pPr>
        <w:keepNext w:val="0"/>
        <w:keepLines w:val="0"/>
        <w:pageBreakBefore w:val="0"/>
        <w:widowControl w:val="0"/>
        <w:tabs>
          <w:tab w:val="left" w:pos="38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rPr>
          <w:rFonts w:hint="default" w:eastAsia="仿宋_GB2312"/>
          <w:highlight w:val="none"/>
          <w:lang w:val="en-US" w:eastAsia="zh-CN"/>
        </w:rPr>
      </w:pPr>
      <w:bookmarkStart w:id="0" w:name="_GoBack"/>
      <w:bookmarkEnd w:id="0"/>
    </w:p>
    <w:p w14:paraId="38A420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福州市</w:t>
      </w:r>
      <w:r>
        <w:rPr>
          <w:rFonts w:hint="eastAsia"/>
          <w:highlight w:val="none"/>
          <w:lang w:eastAsia="zh-CN"/>
        </w:rPr>
        <w:t>生态环境局</w:t>
      </w:r>
      <w:r>
        <w:rPr>
          <w:rFonts w:hint="eastAsia"/>
          <w:highlight w:val="none"/>
          <w:lang w:val="en-US" w:eastAsia="zh-CN"/>
        </w:rPr>
        <w:t xml:space="preserve">        </w:t>
      </w:r>
    </w:p>
    <w:p w14:paraId="085E87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20</w:t>
      </w:r>
      <w:r>
        <w:rPr>
          <w:rFonts w:hint="eastAsia"/>
          <w:highlight w:val="none"/>
          <w:lang w:val="en-US" w:eastAsia="zh-CN"/>
        </w:rPr>
        <w:t>26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8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日</w:t>
      </w:r>
      <w:r>
        <w:rPr>
          <w:rFonts w:hint="eastAsia"/>
          <w:highlight w:val="none"/>
          <w:lang w:val="en-US" w:eastAsia="zh-CN"/>
        </w:rPr>
        <w:t xml:space="preserve">        </w:t>
      </w:r>
    </w:p>
    <w:tbl>
      <w:tblPr>
        <w:tblStyle w:val="17"/>
        <w:tblpPr w:horzAnchor="margin" w:tblpX="1" w:tblpYSpec="bottom"/>
        <w:tblOverlap w:val="never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16"/>
        <w:gridCol w:w="3274"/>
        <w:gridCol w:w="4589"/>
      </w:tblGrid>
      <w:tr w14:paraId="23F3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717" w:type="pct"/>
            <w:tcBorders>
              <w:left w:val="nil"/>
              <w:right w:val="nil"/>
            </w:tcBorders>
            <w:noWrap w:val="0"/>
            <w:vAlign w:val="top"/>
          </w:tcPr>
          <w:p w14:paraId="58661F79">
            <w:pPr>
              <w:pStyle w:val="2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280" w:firstLineChars="100"/>
              <w:jc w:val="left"/>
              <w:textAlignment w:val="auto"/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抄送：</w:t>
            </w:r>
          </w:p>
        </w:tc>
        <w:tc>
          <w:tcPr>
            <w:tcW w:w="4282" w:type="pct"/>
            <w:gridSpan w:val="2"/>
            <w:tcBorders>
              <w:left w:val="nil"/>
              <w:right w:val="nil"/>
            </w:tcBorders>
            <w:noWrap w:val="0"/>
            <w:vAlign w:val="top"/>
          </w:tcPr>
          <w:p w14:paraId="05A16374">
            <w:pPr>
              <w:pStyle w:val="2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textAlignment w:val="auto"/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局海洋处，</w:t>
            </w:r>
            <w:r>
              <w:rPr>
                <w:rFonts w:hint="eastAsia"/>
                <w:sz w:val="28"/>
                <w:szCs w:val="28"/>
                <w:highlight w:val="none"/>
              </w:rPr>
              <w:t>福州市生态环境保护综合执法支队，福州市环境影响评价技术中心，福州市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福清</w:t>
            </w:r>
            <w:r>
              <w:rPr>
                <w:rFonts w:hint="eastAsia"/>
                <w:sz w:val="28"/>
                <w:szCs w:val="28"/>
                <w:highlight w:val="none"/>
              </w:rPr>
              <w:t>生态环境局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，福建中科环境检测技术有限公司。</w:t>
            </w:r>
          </w:p>
        </w:tc>
      </w:tr>
      <w:tr w14:paraId="731C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</w:trPr>
        <w:tc>
          <w:tcPr>
            <w:tcW w:w="2500" w:type="pct"/>
            <w:gridSpan w:val="2"/>
            <w:tcBorders>
              <w:left w:val="nil"/>
              <w:right w:val="nil"/>
            </w:tcBorders>
            <w:noWrap w:val="0"/>
            <w:vAlign w:val="top"/>
          </w:tcPr>
          <w:p w14:paraId="79EC4DC6">
            <w:pPr>
              <w:pStyle w:val="2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280" w:firstLineChars="100"/>
              <w:textAlignment w:val="auto"/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福州市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生态环境</w:t>
            </w:r>
            <w:r>
              <w:rPr>
                <w:rFonts w:hint="eastAsia"/>
                <w:sz w:val="28"/>
                <w:szCs w:val="28"/>
                <w:highlight w:val="none"/>
              </w:rPr>
              <w:t>局</w:t>
            </w:r>
          </w:p>
        </w:tc>
        <w:tc>
          <w:tcPr>
            <w:tcW w:w="2499" w:type="pct"/>
            <w:tcBorders>
              <w:left w:val="nil"/>
              <w:right w:val="nil"/>
            </w:tcBorders>
            <w:noWrap w:val="0"/>
            <w:vAlign w:val="top"/>
          </w:tcPr>
          <w:p w14:paraId="3D2BF521">
            <w:pPr>
              <w:pStyle w:val="2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202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  <w:highlight w:val="none"/>
              </w:rPr>
              <w:t>年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sz w:val="28"/>
                <w:szCs w:val="28"/>
                <w:highlight w:val="none"/>
              </w:rPr>
              <w:t>月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sz w:val="28"/>
                <w:szCs w:val="28"/>
                <w:highlight w:val="none"/>
              </w:rPr>
              <w:t>日印发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</w:tbl>
    <w:p w14:paraId="4387C3C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right="0" w:rightChars="0" w:firstLine="0" w:firstLineChars="0"/>
        <w:jc w:val="both"/>
        <w:textAlignment w:val="auto"/>
        <w:rPr>
          <w:rFonts w:hint="eastAsia"/>
          <w:color w:val="000000"/>
          <w:sz w:val="28"/>
          <w:szCs w:val="28"/>
          <w:highlight w:val="none"/>
          <w:u w:val="none"/>
          <w:lang w:val="en-US" w:eastAsia="zh-CN"/>
        </w:rPr>
      </w:pPr>
    </w:p>
    <w:sectPr>
      <w:footerReference r:id="rId5" w:type="default"/>
      <w:footerReference r:id="rId6" w:type="even"/>
      <w:pgSz w:w="11906" w:h="16838"/>
      <w:pgMar w:top="1417" w:right="1417" w:bottom="1417" w:left="1417" w:header="851" w:footer="850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D034F">
    <w:pPr>
      <w:tabs>
        <w:tab w:val="center" w:pos="4153"/>
        <w:tab w:val="right" w:pos="8306"/>
      </w:tabs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E9A00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3E9A00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76332">
    <w:pPr>
      <w:framePr w:wrap="around" w:vAnchor="text" w:hAnchor="margin" w:xAlign="center" w:y="1"/>
      <w:tabs>
        <w:tab w:val="center" w:pos="4153"/>
        <w:tab w:val="right" w:pos="8306"/>
      </w:tabs>
    </w:pPr>
    <w:r>
      <w:fldChar w:fldCharType="begin"/>
    </w:r>
    <w:r>
      <w:instrText xml:space="preserve">PAGE  </w:instrText>
    </w:r>
    <w:r>
      <w:fldChar w:fldCharType="end"/>
    </w:r>
  </w:p>
  <w:p w14:paraId="15914E8D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084F08"/>
    <w:multiLevelType w:val="singleLevel"/>
    <w:tmpl w:val="FB084F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132AC9"/>
    <w:multiLevelType w:val="multilevel"/>
    <w:tmpl w:val="41132AC9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  <w:b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0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720"/>
        </w:tabs>
        <w:ind w:left="72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NDM5NTI3YTI2MzU0NTA3MzliODM2N2FlYTc2NjYifQ=="/>
  </w:docVars>
  <w:rsids>
    <w:rsidRoot w:val="00172A27"/>
    <w:rsid w:val="00285502"/>
    <w:rsid w:val="002D2788"/>
    <w:rsid w:val="00733C95"/>
    <w:rsid w:val="00DC19CB"/>
    <w:rsid w:val="012415C2"/>
    <w:rsid w:val="01423F24"/>
    <w:rsid w:val="017B4BBD"/>
    <w:rsid w:val="01A7022B"/>
    <w:rsid w:val="01D1680C"/>
    <w:rsid w:val="01D55B47"/>
    <w:rsid w:val="01EE5E5A"/>
    <w:rsid w:val="01F6165D"/>
    <w:rsid w:val="02034E19"/>
    <w:rsid w:val="02087A20"/>
    <w:rsid w:val="021C6C6C"/>
    <w:rsid w:val="02681D8C"/>
    <w:rsid w:val="02A91D81"/>
    <w:rsid w:val="02F373A7"/>
    <w:rsid w:val="03435E7F"/>
    <w:rsid w:val="03995481"/>
    <w:rsid w:val="03AD58A1"/>
    <w:rsid w:val="03CB7B24"/>
    <w:rsid w:val="043A5387"/>
    <w:rsid w:val="044C024B"/>
    <w:rsid w:val="044E3BDF"/>
    <w:rsid w:val="046E4052"/>
    <w:rsid w:val="04D706D5"/>
    <w:rsid w:val="04E87704"/>
    <w:rsid w:val="051316C9"/>
    <w:rsid w:val="05360CF3"/>
    <w:rsid w:val="05614C7A"/>
    <w:rsid w:val="059B31F8"/>
    <w:rsid w:val="05A9624A"/>
    <w:rsid w:val="05EA0EE8"/>
    <w:rsid w:val="05EC03F0"/>
    <w:rsid w:val="06911288"/>
    <w:rsid w:val="06F42B68"/>
    <w:rsid w:val="07627F61"/>
    <w:rsid w:val="07857BC5"/>
    <w:rsid w:val="07872AC0"/>
    <w:rsid w:val="07921E93"/>
    <w:rsid w:val="07A01A45"/>
    <w:rsid w:val="07E643A6"/>
    <w:rsid w:val="08067F20"/>
    <w:rsid w:val="08592B0D"/>
    <w:rsid w:val="08991F59"/>
    <w:rsid w:val="08D31906"/>
    <w:rsid w:val="08F70236"/>
    <w:rsid w:val="09017F7A"/>
    <w:rsid w:val="09290201"/>
    <w:rsid w:val="09682A4F"/>
    <w:rsid w:val="096F7A09"/>
    <w:rsid w:val="097525E3"/>
    <w:rsid w:val="09AE6015"/>
    <w:rsid w:val="09CD427B"/>
    <w:rsid w:val="09F31D9F"/>
    <w:rsid w:val="0A144C68"/>
    <w:rsid w:val="0A1F7296"/>
    <w:rsid w:val="0A374430"/>
    <w:rsid w:val="0A3C63D0"/>
    <w:rsid w:val="0A4F7B1C"/>
    <w:rsid w:val="0BD02354"/>
    <w:rsid w:val="0C312BFA"/>
    <w:rsid w:val="0C8073F8"/>
    <w:rsid w:val="0CA35B13"/>
    <w:rsid w:val="0D750F31"/>
    <w:rsid w:val="0DD45D4E"/>
    <w:rsid w:val="0E140D02"/>
    <w:rsid w:val="0E3A1F14"/>
    <w:rsid w:val="0E865C80"/>
    <w:rsid w:val="0EB47119"/>
    <w:rsid w:val="0EEC178F"/>
    <w:rsid w:val="0F0C76AB"/>
    <w:rsid w:val="0F7D61F5"/>
    <w:rsid w:val="0FC07E01"/>
    <w:rsid w:val="10262D87"/>
    <w:rsid w:val="105F163E"/>
    <w:rsid w:val="10960840"/>
    <w:rsid w:val="10C15A17"/>
    <w:rsid w:val="117F79FE"/>
    <w:rsid w:val="11EE50AB"/>
    <w:rsid w:val="12100067"/>
    <w:rsid w:val="12321614"/>
    <w:rsid w:val="12F82368"/>
    <w:rsid w:val="13095FB3"/>
    <w:rsid w:val="132F0080"/>
    <w:rsid w:val="13433851"/>
    <w:rsid w:val="136E2957"/>
    <w:rsid w:val="139042E6"/>
    <w:rsid w:val="1393060F"/>
    <w:rsid w:val="13CF3A9D"/>
    <w:rsid w:val="14115C0D"/>
    <w:rsid w:val="141C6857"/>
    <w:rsid w:val="14470016"/>
    <w:rsid w:val="14647F10"/>
    <w:rsid w:val="149C2744"/>
    <w:rsid w:val="14A95C11"/>
    <w:rsid w:val="14C40C02"/>
    <w:rsid w:val="14E56EB1"/>
    <w:rsid w:val="14E833C5"/>
    <w:rsid w:val="14EF6AF2"/>
    <w:rsid w:val="15202377"/>
    <w:rsid w:val="15353F94"/>
    <w:rsid w:val="15636A11"/>
    <w:rsid w:val="15864CBE"/>
    <w:rsid w:val="158B717A"/>
    <w:rsid w:val="15A30A8C"/>
    <w:rsid w:val="15AB0040"/>
    <w:rsid w:val="15F874A1"/>
    <w:rsid w:val="160B5ABA"/>
    <w:rsid w:val="16394E85"/>
    <w:rsid w:val="16590C32"/>
    <w:rsid w:val="16BF796D"/>
    <w:rsid w:val="16D60828"/>
    <w:rsid w:val="16E641C4"/>
    <w:rsid w:val="17203A97"/>
    <w:rsid w:val="17696FE0"/>
    <w:rsid w:val="177C2B6D"/>
    <w:rsid w:val="17B42592"/>
    <w:rsid w:val="17DD0A63"/>
    <w:rsid w:val="17F77252"/>
    <w:rsid w:val="18125C7A"/>
    <w:rsid w:val="18777AFA"/>
    <w:rsid w:val="188A223C"/>
    <w:rsid w:val="1892516D"/>
    <w:rsid w:val="18D766FA"/>
    <w:rsid w:val="194045ED"/>
    <w:rsid w:val="19763B91"/>
    <w:rsid w:val="19B17A41"/>
    <w:rsid w:val="19DD3EF8"/>
    <w:rsid w:val="19F73E81"/>
    <w:rsid w:val="1A8C2A62"/>
    <w:rsid w:val="1AF04599"/>
    <w:rsid w:val="1B0C5089"/>
    <w:rsid w:val="1B2F580A"/>
    <w:rsid w:val="1B3A4B23"/>
    <w:rsid w:val="1B676D5F"/>
    <w:rsid w:val="1B7B2A2A"/>
    <w:rsid w:val="1BAD4F54"/>
    <w:rsid w:val="1BB05AD7"/>
    <w:rsid w:val="1BE97638"/>
    <w:rsid w:val="1BF55770"/>
    <w:rsid w:val="1C06075E"/>
    <w:rsid w:val="1C3E3371"/>
    <w:rsid w:val="1C770AC4"/>
    <w:rsid w:val="1CA03525"/>
    <w:rsid w:val="1CAC3741"/>
    <w:rsid w:val="1D6762C4"/>
    <w:rsid w:val="1DB9579F"/>
    <w:rsid w:val="1DFB08D0"/>
    <w:rsid w:val="1E2A1857"/>
    <w:rsid w:val="1E6C5ADB"/>
    <w:rsid w:val="1EB55A71"/>
    <w:rsid w:val="1EC90F46"/>
    <w:rsid w:val="1EFA7794"/>
    <w:rsid w:val="1F165581"/>
    <w:rsid w:val="1F4E5D98"/>
    <w:rsid w:val="1F7040EE"/>
    <w:rsid w:val="1FC42DC7"/>
    <w:rsid w:val="1FFA3FF9"/>
    <w:rsid w:val="20027E8A"/>
    <w:rsid w:val="2060293B"/>
    <w:rsid w:val="20915ED7"/>
    <w:rsid w:val="209F7DAC"/>
    <w:rsid w:val="20D73A5A"/>
    <w:rsid w:val="21143B4C"/>
    <w:rsid w:val="21325C72"/>
    <w:rsid w:val="2137097C"/>
    <w:rsid w:val="21B749D0"/>
    <w:rsid w:val="21E81F4C"/>
    <w:rsid w:val="21FE726F"/>
    <w:rsid w:val="22057C02"/>
    <w:rsid w:val="2214244A"/>
    <w:rsid w:val="22181FF2"/>
    <w:rsid w:val="2224602D"/>
    <w:rsid w:val="225A7C8A"/>
    <w:rsid w:val="226002D5"/>
    <w:rsid w:val="22BA2122"/>
    <w:rsid w:val="22D54F67"/>
    <w:rsid w:val="23925D1D"/>
    <w:rsid w:val="23D37805"/>
    <w:rsid w:val="247F4FF4"/>
    <w:rsid w:val="24D85EEB"/>
    <w:rsid w:val="255D78A2"/>
    <w:rsid w:val="25634F98"/>
    <w:rsid w:val="257974D5"/>
    <w:rsid w:val="25916AA4"/>
    <w:rsid w:val="25D65D28"/>
    <w:rsid w:val="260B587A"/>
    <w:rsid w:val="26117FA0"/>
    <w:rsid w:val="262275D1"/>
    <w:rsid w:val="263C1438"/>
    <w:rsid w:val="26D74631"/>
    <w:rsid w:val="26E0338E"/>
    <w:rsid w:val="26EC2707"/>
    <w:rsid w:val="270D7D6E"/>
    <w:rsid w:val="271B2112"/>
    <w:rsid w:val="273D3CE1"/>
    <w:rsid w:val="273F2C22"/>
    <w:rsid w:val="273F5085"/>
    <w:rsid w:val="27777B13"/>
    <w:rsid w:val="27C7045C"/>
    <w:rsid w:val="27DC2B23"/>
    <w:rsid w:val="280C6F05"/>
    <w:rsid w:val="281B0309"/>
    <w:rsid w:val="283178CB"/>
    <w:rsid w:val="288F5D7B"/>
    <w:rsid w:val="289B7569"/>
    <w:rsid w:val="28AA153E"/>
    <w:rsid w:val="28FC341A"/>
    <w:rsid w:val="2A1C69F8"/>
    <w:rsid w:val="2A8B4E09"/>
    <w:rsid w:val="2A9D4879"/>
    <w:rsid w:val="2AA14CA8"/>
    <w:rsid w:val="2AC121DF"/>
    <w:rsid w:val="2AD14B31"/>
    <w:rsid w:val="2AD57C80"/>
    <w:rsid w:val="2AF10F5C"/>
    <w:rsid w:val="2B0C7BEA"/>
    <w:rsid w:val="2B65243A"/>
    <w:rsid w:val="2B7649BE"/>
    <w:rsid w:val="2B833315"/>
    <w:rsid w:val="2BAA6116"/>
    <w:rsid w:val="2BE95FAD"/>
    <w:rsid w:val="2C387E6F"/>
    <w:rsid w:val="2C421C7B"/>
    <w:rsid w:val="2C5D61AC"/>
    <w:rsid w:val="2C855069"/>
    <w:rsid w:val="2CA43435"/>
    <w:rsid w:val="2CDF5A47"/>
    <w:rsid w:val="2D000B7F"/>
    <w:rsid w:val="2D280BC1"/>
    <w:rsid w:val="2D3E15A4"/>
    <w:rsid w:val="2D9A22EF"/>
    <w:rsid w:val="2DD0519A"/>
    <w:rsid w:val="2E20215E"/>
    <w:rsid w:val="2E4072AA"/>
    <w:rsid w:val="2E521804"/>
    <w:rsid w:val="2E5D640D"/>
    <w:rsid w:val="2E7A2EB2"/>
    <w:rsid w:val="2E82340D"/>
    <w:rsid w:val="2E9D5498"/>
    <w:rsid w:val="2E9F3BE2"/>
    <w:rsid w:val="2F67058E"/>
    <w:rsid w:val="2F7C3F50"/>
    <w:rsid w:val="2F8F7792"/>
    <w:rsid w:val="30221FB4"/>
    <w:rsid w:val="302A5494"/>
    <w:rsid w:val="304A7159"/>
    <w:rsid w:val="304B1338"/>
    <w:rsid w:val="30AB6B41"/>
    <w:rsid w:val="30EE6CA3"/>
    <w:rsid w:val="30F069FA"/>
    <w:rsid w:val="30F83409"/>
    <w:rsid w:val="30FB32F8"/>
    <w:rsid w:val="317B4B1E"/>
    <w:rsid w:val="32052280"/>
    <w:rsid w:val="32E4458C"/>
    <w:rsid w:val="32FB783E"/>
    <w:rsid w:val="33071ADC"/>
    <w:rsid w:val="33405C86"/>
    <w:rsid w:val="334E34FC"/>
    <w:rsid w:val="33520B64"/>
    <w:rsid w:val="335A1288"/>
    <w:rsid w:val="336660D1"/>
    <w:rsid w:val="3401422B"/>
    <w:rsid w:val="341A5D77"/>
    <w:rsid w:val="3455090A"/>
    <w:rsid w:val="346A2584"/>
    <w:rsid w:val="347F5194"/>
    <w:rsid w:val="34BB7587"/>
    <w:rsid w:val="34BD1541"/>
    <w:rsid w:val="34C42AA8"/>
    <w:rsid w:val="34C70C8A"/>
    <w:rsid w:val="34D038C0"/>
    <w:rsid w:val="35051296"/>
    <w:rsid w:val="35226149"/>
    <w:rsid w:val="35226409"/>
    <w:rsid w:val="355510D6"/>
    <w:rsid w:val="35614F37"/>
    <w:rsid w:val="356710AC"/>
    <w:rsid w:val="35916E07"/>
    <w:rsid w:val="359A757A"/>
    <w:rsid w:val="3631346C"/>
    <w:rsid w:val="366E2AEA"/>
    <w:rsid w:val="36767719"/>
    <w:rsid w:val="368F1EED"/>
    <w:rsid w:val="36A24E61"/>
    <w:rsid w:val="36BA77F2"/>
    <w:rsid w:val="36C56525"/>
    <w:rsid w:val="36EB32A4"/>
    <w:rsid w:val="36F02A16"/>
    <w:rsid w:val="373240D5"/>
    <w:rsid w:val="374C17F7"/>
    <w:rsid w:val="377A54BF"/>
    <w:rsid w:val="37F237F8"/>
    <w:rsid w:val="37F877E0"/>
    <w:rsid w:val="3836588A"/>
    <w:rsid w:val="3860185A"/>
    <w:rsid w:val="389F6C5E"/>
    <w:rsid w:val="390B59DF"/>
    <w:rsid w:val="39364032"/>
    <w:rsid w:val="39494047"/>
    <w:rsid w:val="399251D2"/>
    <w:rsid w:val="39E843EE"/>
    <w:rsid w:val="39F14134"/>
    <w:rsid w:val="3A2A69FC"/>
    <w:rsid w:val="3A496523"/>
    <w:rsid w:val="3A7033B3"/>
    <w:rsid w:val="3A867BB1"/>
    <w:rsid w:val="3AA75770"/>
    <w:rsid w:val="3B5B73B5"/>
    <w:rsid w:val="3B950B19"/>
    <w:rsid w:val="3BBC1D7C"/>
    <w:rsid w:val="3C0C5739"/>
    <w:rsid w:val="3C371BD0"/>
    <w:rsid w:val="3C665805"/>
    <w:rsid w:val="3C805325"/>
    <w:rsid w:val="3D9A2417"/>
    <w:rsid w:val="3DA26822"/>
    <w:rsid w:val="3DB86DD6"/>
    <w:rsid w:val="3DDC2BB6"/>
    <w:rsid w:val="3DE06A0F"/>
    <w:rsid w:val="3E771221"/>
    <w:rsid w:val="3EC87493"/>
    <w:rsid w:val="3ECA6D2C"/>
    <w:rsid w:val="3F363F8B"/>
    <w:rsid w:val="3F824E8C"/>
    <w:rsid w:val="3F8C13A2"/>
    <w:rsid w:val="3FBE3C9E"/>
    <w:rsid w:val="407A1888"/>
    <w:rsid w:val="40811207"/>
    <w:rsid w:val="4089777C"/>
    <w:rsid w:val="408A3C30"/>
    <w:rsid w:val="409F7D44"/>
    <w:rsid w:val="40C913D4"/>
    <w:rsid w:val="40CC5DE9"/>
    <w:rsid w:val="40F679C1"/>
    <w:rsid w:val="410E3E35"/>
    <w:rsid w:val="41534C28"/>
    <w:rsid w:val="41A650C0"/>
    <w:rsid w:val="41D10E53"/>
    <w:rsid w:val="41DD6A83"/>
    <w:rsid w:val="41E87F50"/>
    <w:rsid w:val="41E9719C"/>
    <w:rsid w:val="421676EB"/>
    <w:rsid w:val="42371BC0"/>
    <w:rsid w:val="42A11B51"/>
    <w:rsid w:val="42A94EAA"/>
    <w:rsid w:val="43100811"/>
    <w:rsid w:val="435E5746"/>
    <w:rsid w:val="437159C8"/>
    <w:rsid w:val="43AC79FF"/>
    <w:rsid w:val="43D60E26"/>
    <w:rsid w:val="444B22B5"/>
    <w:rsid w:val="44695E5B"/>
    <w:rsid w:val="447314CE"/>
    <w:rsid w:val="44865664"/>
    <w:rsid w:val="448E3562"/>
    <w:rsid w:val="44F945DA"/>
    <w:rsid w:val="45384445"/>
    <w:rsid w:val="453F5652"/>
    <w:rsid w:val="458C75D8"/>
    <w:rsid w:val="45A904AC"/>
    <w:rsid w:val="45A9090B"/>
    <w:rsid w:val="45B13280"/>
    <w:rsid w:val="460D2E36"/>
    <w:rsid w:val="463D0E74"/>
    <w:rsid w:val="46806BA4"/>
    <w:rsid w:val="46905A4C"/>
    <w:rsid w:val="46A97923"/>
    <w:rsid w:val="46C2744B"/>
    <w:rsid w:val="46C93599"/>
    <w:rsid w:val="46CD505E"/>
    <w:rsid w:val="4708409D"/>
    <w:rsid w:val="47BE1C5C"/>
    <w:rsid w:val="486377BD"/>
    <w:rsid w:val="48A155A1"/>
    <w:rsid w:val="48A26146"/>
    <w:rsid w:val="48E17742"/>
    <w:rsid w:val="495441F8"/>
    <w:rsid w:val="49690EEF"/>
    <w:rsid w:val="49835FF6"/>
    <w:rsid w:val="49934965"/>
    <w:rsid w:val="499E03EC"/>
    <w:rsid w:val="49BC54C3"/>
    <w:rsid w:val="49CD0C90"/>
    <w:rsid w:val="4A0E3C60"/>
    <w:rsid w:val="4A17247D"/>
    <w:rsid w:val="4A7077B2"/>
    <w:rsid w:val="4A8E1FAD"/>
    <w:rsid w:val="4A987224"/>
    <w:rsid w:val="4C1027F5"/>
    <w:rsid w:val="4C140938"/>
    <w:rsid w:val="4C4869B3"/>
    <w:rsid w:val="4C670FC4"/>
    <w:rsid w:val="4C811A39"/>
    <w:rsid w:val="4D187B9C"/>
    <w:rsid w:val="4D4D782C"/>
    <w:rsid w:val="4D5F00C6"/>
    <w:rsid w:val="4DC94652"/>
    <w:rsid w:val="4DDE1B7F"/>
    <w:rsid w:val="4E0A0EF3"/>
    <w:rsid w:val="4E0B6B58"/>
    <w:rsid w:val="4E34569A"/>
    <w:rsid w:val="4E553227"/>
    <w:rsid w:val="4E663285"/>
    <w:rsid w:val="4EA41E49"/>
    <w:rsid w:val="4EDA6CE4"/>
    <w:rsid w:val="4EE65F3F"/>
    <w:rsid w:val="4EF704A2"/>
    <w:rsid w:val="4F17434B"/>
    <w:rsid w:val="4F867E4E"/>
    <w:rsid w:val="4FB13998"/>
    <w:rsid w:val="504A7CCC"/>
    <w:rsid w:val="505A6944"/>
    <w:rsid w:val="50611DAF"/>
    <w:rsid w:val="506F4243"/>
    <w:rsid w:val="5089670A"/>
    <w:rsid w:val="50DD5D75"/>
    <w:rsid w:val="51E647F7"/>
    <w:rsid w:val="520533FB"/>
    <w:rsid w:val="52143AFD"/>
    <w:rsid w:val="522B3DE7"/>
    <w:rsid w:val="52555569"/>
    <w:rsid w:val="52F91162"/>
    <w:rsid w:val="52FC2DD4"/>
    <w:rsid w:val="53190FD9"/>
    <w:rsid w:val="53603F71"/>
    <w:rsid w:val="53765A26"/>
    <w:rsid w:val="53795DEA"/>
    <w:rsid w:val="53954603"/>
    <w:rsid w:val="5398647F"/>
    <w:rsid w:val="53B477A2"/>
    <w:rsid w:val="546F2AEB"/>
    <w:rsid w:val="54CE3C4A"/>
    <w:rsid w:val="552A623B"/>
    <w:rsid w:val="55411B42"/>
    <w:rsid w:val="5579019D"/>
    <w:rsid w:val="559F7E89"/>
    <w:rsid w:val="55B81234"/>
    <w:rsid w:val="55BC3AD1"/>
    <w:rsid w:val="5611243C"/>
    <w:rsid w:val="565C381F"/>
    <w:rsid w:val="56723939"/>
    <w:rsid w:val="56752603"/>
    <w:rsid w:val="56B03064"/>
    <w:rsid w:val="56BD1629"/>
    <w:rsid w:val="56FB049E"/>
    <w:rsid w:val="5773796F"/>
    <w:rsid w:val="579932E7"/>
    <w:rsid w:val="57B719BC"/>
    <w:rsid w:val="57C65626"/>
    <w:rsid w:val="57E478CE"/>
    <w:rsid w:val="588C0756"/>
    <w:rsid w:val="58B55C87"/>
    <w:rsid w:val="58E45F93"/>
    <w:rsid w:val="58E73667"/>
    <w:rsid w:val="590929B0"/>
    <w:rsid w:val="591A79B6"/>
    <w:rsid w:val="59404E79"/>
    <w:rsid w:val="595F65D1"/>
    <w:rsid w:val="59821989"/>
    <w:rsid w:val="59B143F5"/>
    <w:rsid w:val="59B70E38"/>
    <w:rsid w:val="59F754D4"/>
    <w:rsid w:val="5A2447F3"/>
    <w:rsid w:val="5A39015A"/>
    <w:rsid w:val="5A600D7D"/>
    <w:rsid w:val="5A663C6D"/>
    <w:rsid w:val="5AF116BD"/>
    <w:rsid w:val="5AFC50AF"/>
    <w:rsid w:val="5B4F712A"/>
    <w:rsid w:val="5BA81DEA"/>
    <w:rsid w:val="5BB416EF"/>
    <w:rsid w:val="5BBB04C9"/>
    <w:rsid w:val="5C02145B"/>
    <w:rsid w:val="5C0F33DD"/>
    <w:rsid w:val="5C1E2DC4"/>
    <w:rsid w:val="5C500C07"/>
    <w:rsid w:val="5C591D09"/>
    <w:rsid w:val="5CB762E9"/>
    <w:rsid w:val="5D014BFA"/>
    <w:rsid w:val="5D194829"/>
    <w:rsid w:val="5D260F2D"/>
    <w:rsid w:val="5D6B68D5"/>
    <w:rsid w:val="5D8442C9"/>
    <w:rsid w:val="5D950200"/>
    <w:rsid w:val="5DA66549"/>
    <w:rsid w:val="5DFD637E"/>
    <w:rsid w:val="5E917EAA"/>
    <w:rsid w:val="5EB60FE2"/>
    <w:rsid w:val="5ECA634C"/>
    <w:rsid w:val="5EF452EC"/>
    <w:rsid w:val="5F27080E"/>
    <w:rsid w:val="5F2D4723"/>
    <w:rsid w:val="5F313E05"/>
    <w:rsid w:val="5F3E17D5"/>
    <w:rsid w:val="5F71128A"/>
    <w:rsid w:val="5F9347C8"/>
    <w:rsid w:val="5FEA2220"/>
    <w:rsid w:val="6045671D"/>
    <w:rsid w:val="606D04A3"/>
    <w:rsid w:val="60AB3A08"/>
    <w:rsid w:val="60D3786A"/>
    <w:rsid w:val="61052DF9"/>
    <w:rsid w:val="6130229A"/>
    <w:rsid w:val="61363955"/>
    <w:rsid w:val="61572249"/>
    <w:rsid w:val="61C3417A"/>
    <w:rsid w:val="6256228E"/>
    <w:rsid w:val="62853361"/>
    <w:rsid w:val="62B831C1"/>
    <w:rsid w:val="62BA4BEA"/>
    <w:rsid w:val="62CF68EA"/>
    <w:rsid w:val="63715BA8"/>
    <w:rsid w:val="63800D2E"/>
    <w:rsid w:val="63C91E94"/>
    <w:rsid w:val="64370110"/>
    <w:rsid w:val="643E32B9"/>
    <w:rsid w:val="64D14E08"/>
    <w:rsid w:val="65627461"/>
    <w:rsid w:val="65C43C25"/>
    <w:rsid w:val="65CA32A0"/>
    <w:rsid w:val="65E77401"/>
    <w:rsid w:val="65FC33BF"/>
    <w:rsid w:val="66AA7F8F"/>
    <w:rsid w:val="66E612EE"/>
    <w:rsid w:val="66E63C24"/>
    <w:rsid w:val="671007B9"/>
    <w:rsid w:val="67391E88"/>
    <w:rsid w:val="675863D3"/>
    <w:rsid w:val="675D7CB8"/>
    <w:rsid w:val="679E4C9A"/>
    <w:rsid w:val="67A41370"/>
    <w:rsid w:val="67A755AC"/>
    <w:rsid w:val="68272D07"/>
    <w:rsid w:val="687B3EEC"/>
    <w:rsid w:val="688F605D"/>
    <w:rsid w:val="68B07C80"/>
    <w:rsid w:val="68D565A8"/>
    <w:rsid w:val="69AE7235"/>
    <w:rsid w:val="69D54F09"/>
    <w:rsid w:val="69EB0C64"/>
    <w:rsid w:val="6A147573"/>
    <w:rsid w:val="6A3F33A9"/>
    <w:rsid w:val="6A795B01"/>
    <w:rsid w:val="6A7B2288"/>
    <w:rsid w:val="6AD965D0"/>
    <w:rsid w:val="6AE57CC7"/>
    <w:rsid w:val="6AFC6EF7"/>
    <w:rsid w:val="6B384575"/>
    <w:rsid w:val="6B570121"/>
    <w:rsid w:val="6B637032"/>
    <w:rsid w:val="6B6A4787"/>
    <w:rsid w:val="6B7752F2"/>
    <w:rsid w:val="6BDB475D"/>
    <w:rsid w:val="6BFF1D07"/>
    <w:rsid w:val="6C2151AA"/>
    <w:rsid w:val="6CC23F43"/>
    <w:rsid w:val="6CC24944"/>
    <w:rsid w:val="6CE71FCB"/>
    <w:rsid w:val="6D013069"/>
    <w:rsid w:val="6D703160"/>
    <w:rsid w:val="6E7B26F0"/>
    <w:rsid w:val="6E907650"/>
    <w:rsid w:val="6EAA69C0"/>
    <w:rsid w:val="6EBB68D3"/>
    <w:rsid w:val="6EEA6F2E"/>
    <w:rsid w:val="6F3D0E01"/>
    <w:rsid w:val="6F5A6006"/>
    <w:rsid w:val="6F8C0561"/>
    <w:rsid w:val="6FA50623"/>
    <w:rsid w:val="6FBB353C"/>
    <w:rsid w:val="6FF40792"/>
    <w:rsid w:val="6FFD1356"/>
    <w:rsid w:val="701570FF"/>
    <w:rsid w:val="705219E6"/>
    <w:rsid w:val="706359C1"/>
    <w:rsid w:val="707352C8"/>
    <w:rsid w:val="708F5FDD"/>
    <w:rsid w:val="70B54C51"/>
    <w:rsid w:val="70D22AF0"/>
    <w:rsid w:val="713F4F2F"/>
    <w:rsid w:val="719B0488"/>
    <w:rsid w:val="71B66B18"/>
    <w:rsid w:val="71C4090A"/>
    <w:rsid w:val="71D17800"/>
    <w:rsid w:val="72504B83"/>
    <w:rsid w:val="727916F5"/>
    <w:rsid w:val="73090EC9"/>
    <w:rsid w:val="7375030D"/>
    <w:rsid w:val="738A3706"/>
    <w:rsid w:val="73C2117C"/>
    <w:rsid w:val="73E86ED0"/>
    <w:rsid w:val="74167DE3"/>
    <w:rsid w:val="7472484C"/>
    <w:rsid w:val="747B1E68"/>
    <w:rsid w:val="749F2E1A"/>
    <w:rsid w:val="750E0FD0"/>
    <w:rsid w:val="754216C1"/>
    <w:rsid w:val="75BD124E"/>
    <w:rsid w:val="75C7203D"/>
    <w:rsid w:val="764F693C"/>
    <w:rsid w:val="770A0CC3"/>
    <w:rsid w:val="771E77B9"/>
    <w:rsid w:val="77592B9B"/>
    <w:rsid w:val="777E5D17"/>
    <w:rsid w:val="77E41408"/>
    <w:rsid w:val="77F2439C"/>
    <w:rsid w:val="780954A3"/>
    <w:rsid w:val="782549A0"/>
    <w:rsid w:val="78700FBA"/>
    <w:rsid w:val="788405CB"/>
    <w:rsid w:val="78D6777B"/>
    <w:rsid w:val="7962424D"/>
    <w:rsid w:val="7A0643B5"/>
    <w:rsid w:val="7A2134D3"/>
    <w:rsid w:val="7A8D4D62"/>
    <w:rsid w:val="7AA92364"/>
    <w:rsid w:val="7B746C71"/>
    <w:rsid w:val="7B8117A9"/>
    <w:rsid w:val="7B8351D1"/>
    <w:rsid w:val="7BED7813"/>
    <w:rsid w:val="7C9000FA"/>
    <w:rsid w:val="7CAD6D69"/>
    <w:rsid w:val="7D5E0B05"/>
    <w:rsid w:val="7D9F624B"/>
    <w:rsid w:val="7D9F7B3D"/>
    <w:rsid w:val="7DB078EA"/>
    <w:rsid w:val="7E4342AC"/>
    <w:rsid w:val="7E536ABA"/>
    <w:rsid w:val="7E5E47BF"/>
    <w:rsid w:val="7E8537CD"/>
    <w:rsid w:val="7E93025D"/>
    <w:rsid w:val="7EAA0BE4"/>
    <w:rsid w:val="7EC73A39"/>
    <w:rsid w:val="7F0D131B"/>
    <w:rsid w:val="7F866B4F"/>
    <w:rsid w:val="7F9336FF"/>
    <w:rsid w:val="7F9C2A34"/>
    <w:rsid w:val="7FB20DB0"/>
    <w:rsid w:val="7FFC3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line="360" w:lineRule="auto"/>
      <w:jc w:val="left"/>
      <w:outlineLvl w:val="3"/>
    </w:pPr>
    <w:rPr>
      <w:b/>
      <w:bCs/>
      <w:sz w:val="24"/>
    </w:rPr>
  </w:style>
  <w:style w:type="character" w:default="1" w:styleId="18">
    <w:name w:val="Default Paragraph Font"/>
    <w:semiHidden/>
    <w:qFormat/>
    <w:uiPriority w:val="0"/>
    <w:rPr>
      <w:rFonts w:ascii="Tahoma" w:hAnsi="Tahoma"/>
      <w:sz w:val="28"/>
      <w:szCs w:val="20"/>
    </w:rPr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te Heading"/>
    <w:basedOn w:val="1"/>
    <w:next w:val="1"/>
    <w:qFormat/>
    <w:uiPriority w:val="0"/>
    <w:pPr>
      <w:widowControl w:val="0"/>
      <w:spacing w:line="360" w:lineRule="auto"/>
      <w:ind w:firstLine="200" w:firstLineChars="200"/>
      <w:jc w:val="center"/>
    </w:pPr>
    <w:rPr>
      <w:rFonts w:ascii="Calibri" w:hAnsi="Calibri" w:eastAsia="宋体" w:cs="Times New Roman"/>
      <w:bCs/>
      <w:snapToGrid w:val="0"/>
      <w:kern w:val="2"/>
      <w:sz w:val="24"/>
      <w:szCs w:val="24"/>
      <w:lang w:val="en-GB" w:eastAsia="zh-CN" w:bidi="ar-SA"/>
    </w:rPr>
  </w:style>
  <w:style w:type="paragraph" w:styleId="7">
    <w:name w:val="Normal Indent"/>
    <w:basedOn w:val="1"/>
    <w:qFormat/>
    <w:uiPriority w:val="0"/>
    <w:pPr>
      <w:ind w:firstLine="420"/>
    </w:pPr>
    <w:rPr>
      <w:rFonts w:asciiTheme="minorHAnsi" w:hAnsiTheme="minorHAnsi" w:cstheme="minorBidi"/>
      <w:lang w:bidi="he-IL"/>
    </w:rPr>
  </w:style>
  <w:style w:type="paragraph" w:styleId="8">
    <w:name w:val="Body Text"/>
    <w:basedOn w:val="1"/>
    <w:next w:val="6"/>
    <w:qFormat/>
    <w:uiPriority w:val="0"/>
    <w:pPr>
      <w:spacing w:after="120"/>
    </w:pPr>
  </w:style>
  <w:style w:type="paragraph" w:styleId="9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qFormat/>
    <w:uiPriority w:val="0"/>
    <w:rPr>
      <w:rFonts w:ascii="宋体" w:hAnsi="Courier New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sz w:val="28"/>
      <w:szCs w:val="2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List"/>
    <w:basedOn w:val="1"/>
    <w:qFormat/>
    <w:uiPriority w:val="0"/>
    <w:pPr>
      <w:ind w:left="200" w:hanging="200" w:hangingChars="200"/>
    </w:p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cs="Times New Roman"/>
      <w:b/>
      <w:bCs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table" w:customStyle="1" w:styleId="20">
    <w:name w:val="正文+宋体4"/>
    <w:basedOn w:val="16"/>
    <w:qFormat/>
    <w:uiPriority w:val="99"/>
    <w:pPr>
      <w:widowControl w:val="0"/>
      <w:jc w:val="center"/>
    </w:pPr>
    <w:rPr>
      <w:szCs w:val="21"/>
    </w:rPr>
    <w:tblPr>
      <w:tblBorders>
        <w:top w:val="single" w:color="auto" w:sz="12" w:space="0"/>
        <w:bottom w:val="single" w:color="auto" w:sz="12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28" w:type="dxa"/>
        <w:right w:w="28" w:type="dxa"/>
      </w:tcMar>
      <w:vAlign w:val="center"/>
    </w:tcPr>
  </w:style>
  <w:style w:type="paragraph" w:customStyle="1" w:styleId="21">
    <w:name w:val="环评批文文号"/>
    <w:basedOn w:val="1"/>
    <w:qFormat/>
    <w:uiPriority w:val="0"/>
    <w:pPr>
      <w:spacing w:before="1520" w:after="100" w:afterLines="100" w:line="600" w:lineRule="exact"/>
      <w:ind w:firstLine="0" w:firstLineChars="0"/>
      <w:jc w:val="right"/>
      <w:outlineLvl w:val="9"/>
    </w:pPr>
    <w:rPr>
      <w:rFonts w:hint="eastAsia"/>
      <w:color w:val="000000"/>
    </w:rPr>
  </w:style>
  <w:style w:type="paragraph" w:customStyle="1" w:styleId="22">
    <w:name w:val="主送机关"/>
    <w:basedOn w:val="1"/>
    <w:next w:val="1"/>
    <w:qFormat/>
    <w:uiPriority w:val="0"/>
    <w:pPr>
      <w:spacing w:line="600" w:lineRule="exact"/>
      <w:ind w:firstLine="0" w:firstLineChars="0"/>
      <w:outlineLvl w:val="9"/>
    </w:pPr>
    <w:rPr>
      <w:rFonts w:hint="eastAsia"/>
      <w:color w:val="000000"/>
    </w:rPr>
  </w:style>
  <w:style w:type="paragraph" w:customStyle="1" w:styleId="23">
    <w:name w:val="抄送单位"/>
    <w:basedOn w:val="1"/>
    <w:next w:val="1"/>
    <w:qFormat/>
    <w:uiPriority w:val="0"/>
    <w:pPr>
      <w:wordWrap w:val="0"/>
      <w:spacing w:line="600" w:lineRule="exact"/>
      <w:ind w:firstLine="0" w:firstLineChars="0"/>
      <w:jc w:val="left"/>
      <w:outlineLvl w:val="9"/>
    </w:pPr>
    <w:rPr>
      <w:rFonts w:hint="eastAsia"/>
      <w:color w:val="000000"/>
      <w:sz w:val="32"/>
      <w:szCs w:val="30"/>
    </w:rPr>
  </w:style>
  <w:style w:type="paragraph" w:customStyle="1" w:styleId="24">
    <w:name w:val="0cyx正文"/>
    <w:basedOn w:val="25"/>
    <w:qFormat/>
    <w:uiPriority w:val="0"/>
    <w:pPr>
      <w:keepNext w:val="0"/>
      <w:keepLines w:val="0"/>
      <w:ind w:firstLine="480" w:firstLineChars="200"/>
      <w:jc w:val="both"/>
      <w:outlineLvl w:val="9"/>
    </w:pPr>
    <w:rPr>
      <w:rFonts w:eastAsia="宋体"/>
      <w:b w:val="0"/>
      <w:sz w:val="24"/>
      <w:szCs w:val="24"/>
    </w:rPr>
  </w:style>
  <w:style w:type="paragraph" w:customStyle="1" w:styleId="25">
    <w:name w:val="0cyx第2标题"/>
    <w:basedOn w:val="3"/>
    <w:qFormat/>
    <w:uiPriority w:val="0"/>
    <w:pPr>
      <w:widowControl w:val="0"/>
      <w:adjustRightInd w:val="0"/>
      <w:snapToGrid w:val="0"/>
      <w:spacing w:before="0" w:after="0" w:line="360" w:lineRule="auto"/>
      <w:ind w:firstLine="0" w:firstLineChars="0"/>
      <w:jc w:val="left"/>
    </w:pPr>
    <w:rPr>
      <w:rFonts w:ascii="Times New Roman" w:hAnsi="Times New Roman" w:eastAsia="黑体"/>
    </w:rPr>
  </w:style>
  <w:style w:type="paragraph" w:customStyle="1" w:styleId="26">
    <w:name w:val="5文章正文"/>
    <w:basedOn w:val="1"/>
    <w:qFormat/>
    <w:uiPriority w:val="0"/>
    <w:pPr>
      <w:spacing w:line="360" w:lineRule="auto"/>
      <w:ind w:firstLine="200" w:firstLineChars="200"/>
    </w:pPr>
    <w:rPr>
      <w:rFonts w:cstheme="minorBidi"/>
      <w:sz w:val="24"/>
      <w:szCs w:val="24"/>
    </w:rPr>
  </w:style>
  <w:style w:type="character" w:customStyle="1" w:styleId="27">
    <w:name w:val="正文（） Char"/>
    <w:link w:val="28"/>
    <w:qFormat/>
    <w:uiPriority w:val="0"/>
    <w:rPr>
      <w:rFonts w:ascii="Times New Roman" w:hAnsi="Times New Roman" w:cs="Times New Roman"/>
      <w:color w:val="FF0000"/>
    </w:rPr>
  </w:style>
  <w:style w:type="paragraph" w:customStyle="1" w:styleId="28">
    <w:name w:val="正文（）"/>
    <w:basedOn w:val="1"/>
    <w:link w:val="27"/>
    <w:qFormat/>
    <w:uiPriority w:val="0"/>
    <w:pPr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cs="Times New Roman"/>
      <w:color w:val="FF0000"/>
    </w:rPr>
  </w:style>
  <w:style w:type="character" w:customStyle="1" w:styleId="29">
    <w:name w:val="表格内容（） Char"/>
    <w:link w:val="30"/>
    <w:qFormat/>
    <w:uiPriority w:val="0"/>
    <w:rPr>
      <w:rFonts w:ascii="Times New Roman" w:hAnsi="Times New Roman" w:cs="Times New Roman"/>
      <w:color w:val="FF0000"/>
      <w:sz w:val="21"/>
      <w:szCs w:val="21"/>
    </w:rPr>
  </w:style>
  <w:style w:type="paragraph" w:customStyle="1" w:styleId="30">
    <w:name w:val="表格内容（）"/>
    <w:basedOn w:val="1"/>
    <w:link w:val="29"/>
    <w:qFormat/>
    <w:uiPriority w:val="0"/>
    <w:pPr>
      <w:widowControl w:val="0"/>
      <w:adjustRightInd w:val="0"/>
      <w:snapToGrid w:val="0"/>
      <w:jc w:val="center"/>
    </w:pPr>
    <w:rPr>
      <w:rFonts w:ascii="Times New Roman" w:hAnsi="Times New Roman" w:cs="Times New Roman"/>
      <w:color w:val="FF0000"/>
      <w:sz w:val="21"/>
      <w:szCs w:val="21"/>
    </w:rPr>
  </w:style>
  <w:style w:type="paragraph" w:customStyle="1" w:styleId="31">
    <w:name w:val="表格内容"/>
    <w:basedOn w:val="1"/>
    <w:next w:val="1"/>
    <w:qFormat/>
    <w:uiPriority w:val="0"/>
    <w:pPr>
      <w:spacing w:line="240" w:lineRule="auto"/>
      <w:jc w:val="center"/>
    </w:pPr>
    <w:rPr>
      <w:rFonts w:ascii="Times New Roman" w:hAnsi="Times New Roman" w:eastAsia="宋体"/>
      <w:kern w:val="0"/>
      <w:sz w:val="21"/>
      <w:szCs w:val="20"/>
    </w:rPr>
  </w:style>
  <w:style w:type="paragraph" w:customStyle="1" w:styleId="32">
    <w:name w:val="YJ正文"/>
    <w:basedOn w:val="1"/>
    <w:qFormat/>
    <w:uiPriority w:val="0"/>
    <w:pPr>
      <w:adjustRightInd w:val="0"/>
      <w:snapToGrid w:val="0"/>
      <w:spacing w:line="360" w:lineRule="auto"/>
      <w:ind w:firstLine="420" w:firstLineChars="200"/>
    </w:pPr>
    <w:rPr>
      <w:rFonts w:ascii="Calibri" w:hAnsi="Calibri" w:eastAsia="宋体" w:cs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2081</Words>
  <Characters>2217</Characters>
  <Lines>0</Lines>
  <Paragraphs>0</Paragraphs>
  <TotalTime>101</TotalTime>
  <ScaleCrop>false</ScaleCrop>
  <LinksUpToDate>false</LinksUpToDate>
  <CharactersWithSpaces>2235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2018-08-21T07:06:00Z</dcterms:created>
  <dc:creator>Yuri</dc:creator>
  <cp:lastModifiedBy>月见函灯</cp:lastModifiedBy>
  <cp:lastPrinted>2026-01-14T01:10:00Z</cp:lastPrinted>
  <dcterms:modified xsi:type="dcterms:W3CDTF">2026-08-03T06:02:52Z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528CE980C82848B2B57CDF942077E10D_13</vt:lpwstr>
  </property>
  <property fmtid="{D5CDD505-2E9C-101B-9397-08002B2CF9AE}" pid="4" name="KSOTemplateDocerSaveRecord">
    <vt:lpwstr>eyJoZGlkIjoiMDkxNDM5NTI3YTI2MzU0NTA3MzliODM2N2FlYTc2NjYiLCJ1c2VySWQiOiI0MjM3NjMwNzUifQ==</vt:lpwstr>
  </property>
</Properties>
</file>