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700F6F">
      <w:pPr>
        <w:pStyle w:val="26"/>
        <w:pageBreakBefore w:val="0"/>
        <w:widowControl w:val="0"/>
        <w:kinsoku/>
        <w:overflowPunct/>
        <w:topLinePunct w:val="0"/>
        <w:autoSpaceDE/>
        <w:autoSpaceDN/>
        <w:bidi w:val="0"/>
        <w:adjustRightInd/>
        <w:spacing w:line="520" w:lineRule="atLeast"/>
        <w:textAlignment w:val="auto"/>
        <w:rPr>
          <w:rFonts w:hint="eastAsia"/>
        </w:rPr>
      </w:pPr>
      <w:r>
        <w:rPr>
          <w:rFonts w:hint="eastAsia"/>
        </w:rPr>
        <w:t>榕环评〔202</w:t>
      </w:r>
      <w:r>
        <w:rPr>
          <w:rFonts w:hint="eastAsia"/>
          <w:lang w:val="en-US" w:eastAsia="zh-CN"/>
        </w:rPr>
        <w:t>6</w:t>
      </w:r>
      <w:r>
        <w:rPr>
          <w:rFonts w:hint="eastAsia"/>
        </w:rPr>
        <w:t>〕</w:t>
      </w:r>
      <w:r>
        <w:rPr>
          <w:rFonts w:hint="eastAsia"/>
          <w:highlight w:val="none"/>
          <w:lang w:val="en-US" w:eastAsia="zh-CN"/>
        </w:rPr>
        <w:t>72</w:t>
      </w:r>
      <w:r>
        <w:rPr>
          <w:rFonts w:hint="eastAsia"/>
        </w:rPr>
        <w:t>号</w:t>
      </w:r>
    </w:p>
    <w:p w14:paraId="7A2CBC8E">
      <w:pPr>
        <w:pStyle w:val="5"/>
        <w:keepNext/>
        <w:keepLines/>
        <w:pageBreakBefore w:val="0"/>
        <w:widowControl w:val="0"/>
        <w:kinsoku/>
        <w:wordWrap/>
        <w:overflowPunct/>
        <w:topLinePunct w:val="0"/>
        <w:autoSpaceDE/>
        <w:autoSpaceDN/>
        <w:bidi w:val="0"/>
        <w:adjustRightInd/>
        <w:snapToGrid/>
        <w:spacing w:line="520" w:lineRule="exact"/>
        <w:textAlignment w:val="auto"/>
        <w:rPr>
          <w:rFonts w:hint="eastAsia" w:ascii="方正小标宋_GBK" w:hAnsi="方正小标宋_GBK" w:eastAsia="方正小标宋_GBK" w:cs="方正小标宋_GBK"/>
          <w:b/>
          <w:color w:val="000000"/>
          <w:sz w:val="44"/>
          <w:szCs w:val="44"/>
          <w:lang w:val="en-US" w:eastAsia="zh-CN"/>
        </w:rPr>
      </w:pPr>
      <w:r>
        <w:rPr>
          <w:rFonts w:hint="eastAsia" w:ascii="方正小标宋_GBK" w:hAnsi="方正小标宋_GBK" w:eastAsia="方正小标宋_GBK" w:cs="方正小标宋_GBK"/>
          <w:b/>
          <w:color w:val="000000"/>
          <w:sz w:val="44"/>
          <w:szCs w:val="44"/>
          <w:lang w:val="en-US" w:eastAsia="zh-CN"/>
        </w:rPr>
        <w:t>福州市生态环境局</w:t>
      </w:r>
    </w:p>
    <w:p w14:paraId="0433269B">
      <w:pPr>
        <w:pStyle w:val="5"/>
        <w:keepNext/>
        <w:keepLines/>
        <w:pageBreakBefore w:val="0"/>
        <w:widowControl w:val="0"/>
        <w:kinsoku/>
        <w:wordWrap/>
        <w:overflowPunct/>
        <w:topLinePunct w:val="0"/>
        <w:autoSpaceDE/>
        <w:autoSpaceDN/>
        <w:bidi w:val="0"/>
        <w:adjustRightInd/>
        <w:snapToGrid/>
        <w:spacing w:line="520" w:lineRule="exact"/>
        <w:textAlignment w:val="auto"/>
        <w:rPr>
          <w:rFonts w:hint="eastAsia"/>
          <w:b/>
          <w:bCs/>
        </w:rPr>
      </w:pPr>
      <w:r>
        <w:rPr>
          <w:rFonts w:hint="eastAsia" w:ascii="方正小标宋_GBK" w:hAnsi="方正小标宋_GBK" w:eastAsia="方正小标宋_GBK" w:cs="方正小标宋_GBK"/>
          <w:b/>
          <w:color w:val="000000"/>
          <w:sz w:val="44"/>
          <w:szCs w:val="44"/>
          <w:lang w:val="en-US" w:eastAsia="zh-CN"/>
        </w:rPr>
        <w:t>关于国道G228连江浦口官岭至琯头东边段公路工程生态环境影响报告书的审批意见</w:t>
      </w:r>
    </w:p>
    <w:p w14:paraId="65138245">
      <w:pPr>
        <w:pageBreakBefore w:val="0"/>
        <w:widowControl w:val="0"/>
        <w:kinsoku/>
        <w:overflowPunct/>
        <w:topLinePunct w:val="0"/>
        <w:autoSpaceDE/>
        <w:autoSpaceDN/>
        <w:bidi w:val="0"/>
        <w:adjustRightInd/>
        <w:spacing w:line="520" w:lineRule="atLeast"/>
        <w:textAlignment w:val="auto"/>
        <w:rPr>
          <w:rFonts w:hint="default" w:eastAsia="仿宋_GB2312"/>
          <w:lang w:val="en-US" w:eastAsia="zh-CN"/>
        </w:rPr>
      </w:pPr>
    </w:p>
    <w:p w14:paraId="52FC3F9E">
      <w:pPr>
        <w:pStyle w:val="28"/>
        <w:keepNext w:val="0"/>
        <w:keepLines w:val="0"/>
        <w:pageBreakBefore w:val="0"/>
        <w:widowControl w:val="0"/>
        <w:kinsoku/>
        <w:overflowPunct/>
        <w:topLinePunct w:val="0"/>
        <w:autoSpaceDE/>
        <w:autoSpaceDN/>
        <w:bidi w:val="0"/>
        <w:adjustRightInd/>
        <w:snapToGrid/>
        <w:spacing w:line="500" w:lineRule="exact"/>
        <w:ind w:right="0" w:rightChars="0"/>
        <w:textAlignment w:val="auto"/>
        <w:rPr>
          <w:rFonts w:hint="eastAsia"/>
          <w:szCs w:val="32"/>
        </w:rPr>
      </w:pPr>
      <w:r>
        <w:rPr>
          <w:rFonts w:hint="eastAsia"/>
          <w:szCs w:val="32"/>
          <w:lang w:eastAsia="zh-CN"/>
        </w:rPr>
        <w:t>连江县交通建设发展有限公司</w:t>
      </w:r>
      <w:r>
        <w:rPr>
          <w:rFonts w:hint="eastAsia"/>
          <w:szCs w:val="32"/>
        </w:rPr>
        <w:t>：</w:t>
      </w:r>
    </w:p>
    <w:p w14:paraId="563BD614">
      <w:pPr>
        <w:keepNext w:val="0"/>
        <w:keepLines w:val="0"/>
        <w:pageBreakBefore w:val="0"/>
        <w:widowControl w:val="0"/>
        <w:kinsoku/>
        <w:overflowPunct/>
        <w:topLinePunct w:val="0"/>
        <w:autoSpaceDE/>
        <w:autoSpaceDN/>
        <w:bidi w:val="0"/>
        <w:adjustRightInd/>
        <w:snapToGrid/>
        <w:spacing w:line="500" w:lineRule="exact"/>
        <w:ind w:right="0" w:rightChars="0" w:firstLine="640" w:firstLineChars="200"/>
        <w:textAlignment w:val="auto"/>
        <w:rPr>
          <w:rFonts w:hint="eastAsia"/>
          <w:highlight w:val="none"/>
          <w:lang w:val="en-US" w:eastAsia="zh-CN"/>
        </w:rPr>
      </w:pPr>
      <w:r>
        <w:rPr>
          <w:rFonts w:hint="eastAsia"/>
          <w:lang w:val="en-US" w:eastAsia="zh-CN"/>
        </w:rPr>
        <w:t>你司报送的《国道G228连江浦口官岭至琯头东边段公路工程生态环境影响报告书》（以下简称《报告书》）收悉。经组织技术审查，并征求福州市连江生态环境局意见，现提出审批意见如</w:t>
      </w:r>
      <w:r>
        <w:rPr>
          <w:rFonts w:hint="eastAsia"/>
          <w:highlight w:val="none"/>
          <w:lang w:val="en-US" w:eastAsia="zh-CN"/>
        </w:rPr>
        <w:t>下：</w:t>
      </w:r>
    </w:p>
    <w:p w14:paraId="7F7E6F6C">
      <w:pPr>
        <w:keepNext w:val="0"/>
        <w:keepLines w:val="0"/>
        <w:pageBreakBefore w:val="0"/>
        <w:widowControl w:val="0"/>
        <w:numPr>
          <w:ilvl w:val="0"/>
          <w:numId w:val="2"/>
        </w:numPr>
        <w:kinsoku/>
        <w:overflowPunct/>
        <w:topLinePunct w:val="0"/>
        <w:autoSpaceDE/>
        <w:autoSpaceDN/>
        <w:bidi w:val="0"/>
        <w:adjustRightInd/>
        <w:snapToGrid/>
        <w:spacing w:line="500" w:lineRule="exact"/>
        <w:ind w:right="0" w:rightChars="0"/>
        <w:textAlignment w:val="auto"/>
        <w:rPr>
          <w:rFonts w:hint="eastAsia"/>
          <w:color w:val="auto"/>
          <w:highlight w:val="none"/>
          <w:lang w:val="en-US" w:eastAsia="zh-CN"/>
        </w:rPr>
      </w:pPr>
      <w:r>
        <w:rPr>
          <w:rFonts w:hint="eastAsia"/>
          <w:highlight w:val="none"/>
          <w:lang w:val="en-US" w:eastAsia="zh-CN"/>
        </w:rPr>
        <w:t>国道G228连江浦口官岭至琯头东边段公路工程</w:t>
      </w:r>
      <w:r>
        <w:rPr>
          <w:rFonts w:hint="eastAsia"/>
          <w:color w:val="auto"/>
          <w:highlight w:val="none"/>
          <w:lang w:val="en-US" w:eastAsia="zh-CN"/>
        </w:rPr>
        <w:t>位于</w:t>
      </w:r>
      <w:r>
        <w:rPr>
          <w:rFonts w:hint="eastAsia" w:ascii="仿宋_GB2312" w:eastAsia="仿宋_GB2312"/>
          <w:color w:val="auto"/>
          <w:sz w:val="32"/>
          <w:szCs w:val="32"/>
          <w:highlight w:val="none"/>
          <w:u w:val="none"/>
          <w:lang w:val="en-US" w:eastAsia="zh-CN"/>
        </w:rPr>
        <w:t>连江县浦口镇官岭村</w:t>
      </w:r>
      <w:r>
        <w:rPr>
          <w:rFonts w:hint="eastAsia" w:ascii="仿宋_GB2312" w:eastAsia="仿宋_GB2312"/>
          <w:color w:val="auto"/>
          <w:sz w:val="32"/>
          <w:szCs w:val="32"/>
          <w:highlight w:val="none"/>
          <w:u w:val="none"/>
          <w:lang w:eastAsia="zh-CN"/>
        </w:rPr>
        <w:t>，顺接国道</w:t>
      </w:r>
      <w:r>
        <w:rPr>
          <w:rFonts w:hint="eastAsia" w:ascii="仿宋_GB2312" w:eastAsia="仿宋_GB2312"/>
          <w:color w:val="auto"/>
          <w:sz w:val="32"/>
          <w:szCs w:val="32"/>
          <w:highlight w:val="none"/>
          <w:u w:val="none"/>
          <w:lang w:val="en-US" w:eastAsia="zh-CN"/>
        </w:rPr>
        <w:t>G228</w:t>
      </w:r>
      <w:r>
        <w:rPr>
          <w:rFonts w:hint="eastAsia"/>
          <w:color w:val="auto"/>
          <w:sz w:val="32"/>
          <w:szCs w:val="32"/>
          <w:highlight w:val="none"/>
          <w:u w:val="none"/>
          <w:lang w:val="en-US" w:eastAsia="zh-CN"/>
        </w:rPr>
        <w:t>线</w:t>
      </w:r>
      <w:r>
        <w:rPr>
          <w:rFonts w:hint="eastAsia" w:ascii="仿宋_GB2312" w:eastAsia="仿宋_GB2312"/>
          <w:color w:val="auto"/>
          <w:sz w:val="32"/>
          <w:szCs w:val="32"/>
          <w:highlight w:val="none"/>
          <w:u w:val="none"/>
          <w:lang w:val="en-US" w:eastAsia="zh-CN"/>
        </w:rPr>
        <w:t>文山至官岭段，终于琯头镇东边村，顺接国道G228</w:t>
      </w:r>
      <w:r>
        <w:rPr>
          <w:rFonts w:hint="eastAsia"/>
          <w:color w:val="auto"/>
          <w:sz w:val="32"/>
          <w:szCs w:val="32"/>
          <w:highlight w:val="none"/>
          <w:u w:val="none"/>
          <w:lang w:val="en-US" w:eastAsia="zh-CN"/>
        </w:rPr>
        <w:t>线</w:t>
      </w:r>
      <w:r>
        <w:rPr>
          <w:rFonts w:hint="eastAsia" w:ascii="仿宋_GB2312" w:eastAsia="仿宋_GB2312"/>
          <w:color w:val="auto"/>
          <w:sz w:val="32"/>
          <w:szCs w:val="32"/>
          <w:highlight w:val="none"/>
          <w:u w:val="none"/>
          <w:lang w:val="en-US" w:eastAsia="zh-CN"/>
        </w:rPr>
        <w:t>琯头段。路线</w:t>
      </w:r>
      <w:r>
        <w:rPr>
          <w:rFonts w:hint="eastAsia"/>
          <w:color w:val="auto"/>
          <w:sz w:val="32"/>
          <w:szCs w:val="32"/>
          <w:highlight w:val="none"/>
          <w:u w:val="none"/>
          <w:lang w:val="en-US" w:eastAsia="zh-CN"/>
        </w:rPr>
        <w:t>总</w:t>
      </w:r>
      <w:r>
        <w:rPr>
          <w:rFonts w:hint="eastAsia" w:ascii="仿宋_GB2312" w:eastAsia="仿宋_GB2312"/>
          <w:color w:val="auto"/>
          <w:sz w:val="32"/>
          <w:szCs w:val="32"/>
          <w:highlight w:val="none"/>
          <w:u w:val="none"/>
          <w:lang w:val="en-US" w:eastAsia="zh-CN"/>
        </w:rPr>
        <w:t>长</w:t>
      </w:r>
      <w:r>
        <w:rPr>
          <w:rFonts w:hint="eastAsia"/>
          <w:color w:val="auto"/>
          <w:sz w:val="32"/>
          <w:szCs w:val="32"/>
          <w:highlight w:val="none"/>
          <w:u w:val="none"/>
          <w:lang w:val="en-US" w:eastAsia="zh-CN"/>
        </w:rPr>
        <w:t>约</w:t>
      </w:r>
      <w:r>
        <w:rPr>
          <w:rFonts w:hint="eastAsia" w:ascii="仿宋_GB2312" w:eastAsia="仿宋_GB2312"/>
          <w:color w:val="auto"/>
          <w:sz w:val="32"/>
          <w:szCs w:val="32"/>
          <w:highlight w:val="none"/>
          <w:u w:val="none"/>
          <w:lang w:val="en-US" w:eastAsia="zh-CN"/>
        </w:rPr>
        <w:t>30公里</w:t>
      </w:r>
      <w:r>
        <w:rPr>
          <w:rFonts w:hint="eastAsia"/>
          <w:color w:val="auto"/>
          <w:sz w:val="32"/>
          <w:szCs w:val="32"/>
          <w:highlight w:val="none"/>
          <w:u w:val="none"/>
          <w:lang w:val="en-US" w:eastAsia="zh-CN"/>
        </w:rPr>
        <w:t>。浦口官岭至琯头下岐段（约24.6公里）采用一级公路标准建设，琯头下岐至东边段（约5.4公里）采用二级公路标准建设。全线在澳头、寨洋和琯头岭设置3处互通式立交，设置长沙服务区，同步建设必要的交通工程和沿线设施。</w:t>
      </w:r>
    </w:p>
    <w:p w14:paraId="6F57B90C">
      <w:pPr>
        <w:keepNext w:val="0"/>
        <w:keepLines w:val="0"/>
        <w:pageBreakBefore w:val="0"/>
        <w:widowControl w:val="0"/>
        <w:kinsoku/>
        <w:overflowPunct/>
        <w:topLinePunct w:val="0"/>
        <w:autoSpaceDE/>
        <w:autoSpaceDN/>
        <w:bidi w:val="0"/>
        <w:adjustRightInd/>
        <w:snapToGrid/>
        <w:spacing w:line="500" w:lineRule="exact"/>
        <w:ind w:right="0" w:rightChars="0"/>
        <w:textAlignment w:val="auto"/>
        <w:rPr>
          <w:rFonts w:hint="default"/>
          <w:lang w:val="en-US" w:eastAsia="zh-CN"/>
        </w:rPr>
      </w:pPr>
      <w:r>
        <w:rPr>
          <w:rFonts w:hint="eastAsia"/>
          <w:lang w:val="en-US" w:eastAsia="zh-CN"/>
        </w:rPr>
        <w:t>根据《报告书》评价结论和福州市环境影响评价技术中心的技术评估报告（</w:t>
      </w:r>
      <w:r>
        <w:rPr>
          <w:rFonts w:hint="eastAsia"/>
          <w:highlight w:val="none"/>
          <w:lang w:val="en-US" w:eastAsia="zh-CN"/>
        </w:rPr>
        <w:t>编号</w:t>
      </w:r>
      <w:r>
        <w:rPr>
          <w:rFonts w:hint="eastAsia"/>
          <w:strike w:val="0"/>
          <w:highlight w:val="none"/>
          <w:lang w:val="en-US" w:eastAsia="zh-CN"/>
        </w:rPr>
        <w:t>2-2026-021</w:t>
      </w:r>
      <w:r>
        <w:rPr>
          <w:rFonts w:hint="eastAsia"/>
          <w:lang w:val="en-US" w:eastAsia="zh-CN"/>
        </w:rPr>
        <w:t>）</w:t>
      </w:r>
      <w:r>
        <w:rPr>
          <w:rFonts w:hint="eastAsia"/>
          <w:highlight w:val="none"/>
          <w:lang w:val="en-US" w:eastAsia="zh-CN"/>
        </w:rPr>
        <w:t>，</w:t>
      </w:r>
      <w:r>
        <w:rPr>
          <w:rFonts w:hint="eastAsia"/>
        </w:rPr>
        <w:t>该</w:t>
      </w:r>
      <w:r>
        <w:rPr>
          <w:rFonts w:hint="eastAsia"/>
          <w:lang w:eastAsia="zh-CN"/>
        </w:rPr>
        <w:t>项目建设符合国家产业政策和福州市生态环境分区管控要求，</w:t>
      </w:r>
      <w:r>
        <w:rPr>
          <w:rFonts w:hint="eastAsia"/>
          <w:lang w:val="en-US" w:eastAsia="zh-CN"/>
        </w:rPr>
        <w:t>符合</w:t>
      </w:r>
      <w:r>
        <w:rPr>
          <w:rFonts w:hint="eastAsia" w:ascii="仿宋_GB2312" w:hAnsi="仿宋_GB2312" w:eastAsia="仿宋_GB2312" w:cs="仿宋_GB2312"/>
          <w:color w:val="auto"/>
          <w:sz w:val="32"/>
          <w:szCs w:val="32"/>
          <w:u w:val="none"/>
        </w:rPr>
        <w:t>《国家公路网规划》</w:t>
      </w:r>
      <w:r>
        <w:rPr>
          <w:rFonts w:hint="eastAsia"/>
          <w:lang w:val="en-US" w:eastAsia="zh-CN"/>
        </w:rPr>
        <w:t>《福建省普通国省干线公路网布局规划》《福州市“十四五”综合交通运输发展专项规划》等相关规划要求</w:t>
      </w:r>
      <w:r>
        <w:rPr>
          <w:rFonts w:hint="eastAsia"/>
          <w:color w:val="000000" w:themeColor="text1"/>
          <w:highlight w:val="none"/>
          <w:lang w:val="en-US" w:eastAsia="zh-CN"/>
          <w14:textFill>
            <w14:solidFill>
              <w14:schemeClr w14:val="tx1"/>
            </w14:solidFill>
          </w14:textFill>
        </w:rPr>
        <w:t>。</w:t>
      </w:r>
      <w:r>
        <w:rPr>
          <w:rFonts w:hint="eastAsia"/>
          <w:lang w:val="en-US" w:eastAsia="zh-CN"/>
        </w:rPr>
        <w:t>在严格落实《报告书》提出的各项环境保护措施，加强环境管理的前提下，从环境影响角度分析，项目建设可行。</w:t>
      </w:r>
      <w:r>
        <w:rPr>
          <w:rFonts w:hint="eastAsia"/>
        </w:rPr>
        <w:t>同意</w:t>
      </w:r>
      <w:r>
        <w:rPr>
          <w:rFonts w:hint="eastAsia"/>
          <w:lang w:eastAsia="zh-CN"/>
        </w:rPr>
        <w:t>项目</w:t>
      </w:r>
      <w:r>
        <w:rPr>
          <w:rFonts w:hint="eastAsia"/>
        </w:rPr>
        <w:t>按照</w:t>
      </w:r>
      <w:r>
        <w:rPr>
          <w:rFonts w:hint="eastAsia"/>
          <w:lang w:val="en-US" w:eastAsia="zh-CN"/>
        </w:rPr>
        <w:t>《报告书》</w:t>
      </w:r>
      <w:r>
        <w:rPr>
          <w:rFonts w:hint="eastAsia"/>
        </w:rPr>
        <w:t>中所列的性质、规模、地点、采用的生产工艺</w:t>
      </w:r>
      <w:r>
        <w:rPr>
          <w:rFonts w:hint="eastAsia"/>
          <w:lang w:eastAsia="zh-CN"/>
        </w:rPr>
        <w:t>和</w:t>
      </w:r>
      <w:r>
        <w:rPr>
          <w:rFonts w:hint="eastAsia"/>
        </w:rPr>
        <w:t>防治污染、防止生态破坏的措施进行建设</w:t>
      </w:r>
      <w:r>
        <w:rPr>
          <w:rFonts w:hint="eastAsia"/>
          <w:lang w:val="en-US" w:eastAsia="zh-CN"/>
        </w:rPr>
        <w:t>。</w:t>
      </w:r>
    </w:p>
    <w:p w14:paraId="56CF556E">
      <w:pPr>
        <w:keepNext w:val="0"/>
        <w:keepLines w:val="0"/>
        <w:pageBreakBefore w:val="0"/>
        <w:widowControl w:val="0"/>
        <w:kinsoku/>
        <w:overflowPunct/>
        <w:topLinePunct w:val="0"/>
        <w:autoSpaceDE/>
        <w:autoSpaceDN/>
        <w:bidi w:val="0"/>
        <w:adjustRightInd/>
        <w:snapToGrid/>
        <w:spacing w:line="500" w:lineRule="exact"/>
        <w:ind w:right="0" w:rightChars="0"/>
        <w:textAlignment w:val="auto"/>
        <w:rPr>
          <w:rFonts w:hint="eastAsia"/>
          <w:lang w:eastAsia="zh-CN"/>
        </w:rPr>
      </w:pPr>
      <w:r>
        <w:rPr>
          <w:rFonts w:hint="eastAsia"/>
          <w:lang w:val="en-US" w:eastAsia="zh-CN"/>
        </w:rPr>
        <w:t>二、项目应严格落实《报告书》提出的各项生态保护、污染防治、风险防控等措施，</w:t>
      </w:r>
      <w:r>
        <w:rPr>
          <w:rFonts w:hint="eastAsia" w:hAnsi="宋体"/>
          <w:color w:val="auto"/>
          <w:sz w:val="32"/>
          <w:szCs w:val="32"/>
          <w:highlight w:val="none"/>
          <w:lang w:val="en-US" w:eastAsia="zh-CN"/>
        </w:rPr>
        <w:t>按照《报告书》提出的“以新带老”要求，对现有项目存在的主要环保问题及时完成整改，</w:t>
      </w:r>
      <w:r>
        <w:rPr>
          <w:rFonts w:hint="eastAsia"/>
          <w:lang w:val="en-US" w:eastAsia="zh-CN"/>
        </w:rPr>
        <w:t>并重点做好以下工作</w:t>
      </w:r>
      <w:r>
        <w:rPr>
          <w:rFonts w:hint="eastAsia"/>
          <w:lang w:eastAsia="zh-CN"/>
        </w:rPr>
        <w:t>：</w:t>
      </w:r>
    </w:p>
    <w:p w14:paraId="15A6C9DA">
      <w:pPr>
        <w:keepNext w:val="0"/>
        <w:keepLines w:val="0"/>
        <w:pageBreakBefore w:val="0"/>
        <w:widowControl w:val="0"/>
        <w:kinsoku/>
        <w:wordWrap/>
        <w:overflowPunct/>
        <w:topLinePunct w:val="0"/>
        <w:autoSpaceDE/>
        <w:autoSpaceDN/>
        <w:bidi w:val="0"/>
        <w:adjustRightInd/>
        <w:snapToGrid/>
        <w:spacing w:line="500" w:lineRule="exact"/>
        <w:ind w:right="0" w:rightChars="0" w:firstLine="643" w:firstLineChars="200"/>
        <w:jc w:val="both"/>
        <w:textAlignment w:val="auto"/>
        <w:outlineLvl w:val="9"/>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1.生态环境防治</w:t>
      </w:r>
    </w:p>
    <w:p w14:paraId="628BB3EA">
      <w:pPr>
        <w:keepNext w:val="0"/>
        <w:keepLines w:val="0"/>
        <w:pageBreakBefore w:val="0"/>
        <w:widowControl/>
        <w:kinsoku/>
        <w:wordWrap/>
        <w:overflowPunct/>
        <w:topLinePunct w:val="0"/>
        <w:autoSpaceDE/>
        <w:autoSpaceDN/>
        <w:bidi w:val="0"/>
        <w:snapToGrid/>
        <w:spacing w:after="0" w:line="540" w:lineRule="exact"/>
        <w:ind w:left="0" w:leftChars="0" w:firstLine="640" w:firstLineChars="200"/>
        <w:textAlignment w:val="auto"/>
        <w:rPr>
          <w:rFonts w:hint="default" w:ascii="仿宋_GB2312" w:hAnsi="仿宋_GB2312" w:eastAsia="仿宋_GB2312" w:cs="仿宋_GB2312"/>
          <w:color w:val="auto"/>
          <w:kern w:val="2"/>
          <w:sz w:val="32"/>
          <w:szCs w:val="32"/>
          <w:highlight w:val="none"/>
          <w:lang w:val="en-US" w:eastAsia="zh-CN" w:bidi="ar-SA"/>
        </w:rPr>
      </w:pPr>
      <w:r>
        <w:rPr>
          <w:rFonts w:hint="eastAsia" w:ascii="仿宋_GB2312" w:hAnsi="Times New Roman" w:eastAsia="仿宋_GB2312" w:cs="Times New Roman"/>
          <w:color w:val="auto"/>
          <w:sz w:val="32"/>
          <w:szCs w:val="32"/>
          <w:highlight w:val="none"/>
          <w:u w:val="none"/>
        </w:rPr>
        <w:t>严格限制施工作业范围，优先采用先进环保的施工工艺和作业方式，最大限度减轻施工活动对海洋生态环境的影响。落实表土剥离和妥善保存措施，剥离表土全部用于后期覆土绿化。严格落实湿地保护措施，严禁将施工废水、生活污水排入湿地</w:t>
      </w:r>
      <w:r>
        <w:rPr>
          <w:rFonts w:hint="eastAsia" w:hAnsi="Times New Roman" w:cs="Times New Roman"/>
          <w:color w:val="auto"/>
          <w:sz w:val="32"/>
          <w:szCs w:val="32"/>
          <w:highlight w:val="none"/>
          <w:u w:val="none"/>
          <w:lang w:eastAsia="zh-CN"/>
        </w:rPr>
        <w:t>。</w:t>
      </w:r>
      <w:r>
        <w:rPr>
          <w:rFonts w:hint="eastAsia" w:ascii="仿宋_GB2312" w:hAnsi="Times New Roman" w:eastAsia="仿宋_GB2312" w:cs="Times New Roman"/>
          <w:color w:val="auto"/>
          <w:sz w:val="32"/>
          <w:szCs w:val="32"/>
          <w:highlight w:val="none"/>
          <w:u w:val="none"/>
        </w:rPr>
        <w:t>切实落实鸟类及古树名木等保护措施，认真执行海洋生态补偿计划，减轻项目建设对海洋生态环境和湿地生态系统的影响</w:t>
      </w:r>
      <w:r>
        <w:rPr>
          <w:rFonts w:hint="eastAsia" w:hAnsi="Times New Roman" w:cs="Times New Roman"/>
          <w:color w:val="auto"/>
          <w:sz w:val="32"/>
          <w:szCs w:val="32"/>
          <w:highlight w:val="none"/>
          <w:u w:val="none"/>
          <w:lang w:val="en-US" w:eastAsia="zh-CN"/>
        </w:rPr>
        <w:t>。</w:t>
      </w:r>
    </w:p>
    <w:p w14:paraId="2B098901">
      <w:pPr>
        <w:keepNext w:val="0"/>
        <w:keepLines w:val="0"/>
        <w:pageBreakBefore w:val="0"/>
        <w:widowControl w:val="0"/>
        <w:kinsoku/>
        <w:wordWrap/>
        <w:overflowPunct/>
        <w:topLinePunct w:val="0"/>
        <w:autoSpaceDE/>
        <w:autoSpaceDN/>
        <w:bidi w:val="0"/>
        <w:adjustRightInd/>
        <w:snapToGrid/>
        <w:spacing w:line="500" w:lineRule="exact"/>
        <w:ind w:right="0" w:rightChars="0" w:firstLine="643" w:firstLineChars="200"/>
        <w:jc w:val="both"/>
        <w:textAlignment w:val="auto"/>
        <w:outlineLvl w:val="9"/>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2.水污染防治</w:t>
      </w:r>
    </w:p>
    <w:p w14:paraId="6C7DEA0C">
      <w:pPr>
        <w:pStyle w:val="38"/>
        <w:keepNext w:val="0"/>
        <w:keepLines w:val="0"/>
        <w:pageBreakBefore w:val="0"/>
        <w:widowControl w:val="0"/>
        <w:kinsoku/>
        <w:wordWrap/>
        <w:overflowPunct/>
        <w:topLinePunct w:val="0"/>
        <w:autoSpaceDE/>
        <w:autoSpaceDN/>
        <w:bidi w:val="0"/>
        <w:adjustRightInd w:val="0"/>
        <w:snapToGrid w:val="0"/>
        <w:spacing w:after="0" w:line="540" w:lineRule="exact"/>
        <w:ind w:left="160" w:leftChars="50" w:right="160" w:rightChars="50" w:firstLine="640" w:firstLineChars="200"/>
        <w:textAlignment w:val="auto"/>
        <w:rPr>
          <w:rFonts w:hint="eastAsia" w:ascii="仿宋_GB2312" w:hAnsi="仿宋_GB2312" w:eastAsia="仿宋_GB2312" w:cs="仿宋_GB2312"/>
          <w:color w:val="auto"/>
          <w:sz w:val="32"/>
          <w:szCs w:val="32"/>
          <w:highlight w:val="none"/>
          <w:lang w:eastAsia="zh-CN" w:bidi="he-IL"/>
        </w:rPr>
      </w:pPr>
      <w:r>
        <w:rPr>
          <w:rFonts w:hint="eastAsia" w:ascii="Times New Roman" w:hAnsi="Times New Roman" w:eastAsia="仿宋_GB2312" w:cs="Times New Roman"/>
          <w:color w:val="auto"/>
          <w:sz w:val="32"/>
          <w:szCs w:val="32"/>
          <w:highlight w:val="none"/>
          <w:u w:val="none"/>
          <w:lang w:val="en-US"/>
        </w:rPr>
        <w:t>施</w:t>
      </w:r>
      <w:r>
        <w:rPr>
          <w:rFonts w:hint="eastAsia" w:ascii="Times New Roman" w:hAnsi="Times New Roman" w:eastAsia="仿宋_GB2312" w:cs="Times New Roman"/>
          <w:color w:val="auto"/>
          <w:sz w:val="32"/>
          <w:szCs w:val="32"/>
          <w:u w:val="none"/>
          <w:lang w:val="en-US"/>
        </w:rPr>
        <w:t>工人员生活污水</w:t>
      </w:r>
      <w:r>
        <w:rPr>
          <w:rFonts w:hint="eastAsia" w:ascii="Times New Roman" w:hAnsi="Times New Roman" w:eastAsia="仿宋_GB2312" w:cs="Times New Roman"/>
          <w:color w:val="auto"/>
          <w:sz w:val="32"/>
          <w:szCs w:val="32"/>
          <w:u w:val="none"/>
        </w:rPr>
        <w:t>经化粪池预处理后定期由槽车运往</w:t>
      </w:r>
      <w:r>
        <w:rPr>
          <w:rFonts w:hint="eastAsia" w:ascii="Times New Roman" w:hAnsi="Times New Roman" w:cs="Times New Roman"/>
          <w:color w:val="auto"/>
          <w:sz w:val="32"/>
          <w:szCs w:val="32"/>
          <w:highlight w:val="none"/>
          <w:u w:val="none"/>
          <w:lang w:val="en-US" w:eastAsia="zh-CN"/>
        </w:rPr>
        <w:t>连江县</w:t>
      </w:r>
      <w:r>
        <w:rPr>
          <w:rFonts w:hint="eastAsia" w:ascii="Times New Roman" w:hAnsi="Times New Roman" w:cs="Times New Roman"/>
          <w:color w:val="auto"/>
          <w:sz w:val="32"/>
          <w:highlight w:val="none"/>
          <w:u w:val="none"/>
        </w:rPr>
        <w:t>晓澳片区</w:t>
      </w:r>
      <w:r>
        <w:rPr>
          <w:rFonts w:hint="eastAsia" w:ascii="Times New Roman" w:hAnsi="Times New Roman" w:eastAsia="仿宋_GB2312" w:cs="Times New Roman"/>
          <w:color w:val="auto"/>
          <w:sz w:val="32"/>
          <w:szCs w:val="32"/>
          <w:highlight w:val="none"/>
          <w:u w:val="none"/>
          <w:lang w:val="en-US" w:eastAsia="zh-CN"/>
        </w:rPr>
        <w:t>污水处理厂</w:t>
      </w:r>
      <w:r>
        <w:rPr>
          <w:rFonts w:hint="eastAsia" w:ascii="Times New Roman" w:hAnsi="Times New Roman" w:eastAsia="仿宋_GB2312" w:cs="Times New Roman"/>
          <w:color w:val="auto"/>
          <w:sz w:val="32"/>
          <w:szCs w:val="32"/>
          <w:u w:val="none"/>
        </w:rPr>
        <w:t>处理。施工</w:t>
      </w:r>
      <w:r>
        <w:rPr>
          <w:rFonts w:hint="eastAsia" w:ascii="Times New Roman" w:hAnsi="Times New Roman" w:cs="Times New Roman"/>
          <w:color w:val="auto"/>
          <w:sz w:val="32"/>
          <w:szCs w:val="32"/>
          <w:u w:val="none"/>
          <w:lang w:eastAsia="zh-CN"/>
        </w:rPr>
        <w:t>期</w:t>
      </w:r>
      <w:r>
        <w:rPr>
          <w:rFonts w:hint="eastAsia" w:ascii="Times New Roman" w:hAnsi="Times New Roman" w:eastAsia="仿宋_GB2312" w:cs="Times New Roman"/>
          <w:color w:val="auto"/>
          <w:sz w:val="32"/>
          <w:szCs w:val="32"/>
          <w:u w:val="none"/>
        </w:rPr>
        <w:t>生产废水经隔油、沉淀处理后回用不外排。跨海桥梁施工过程中，</w:t>
      </w:r>
      <w:r>
        <w:rPr>
          <w:rFonts w:hint="eastAsia" w:ascii="Times New Roman" w:hAnsi="Times New Roman" w:eastAsia="仿宋_GB2312" w:cs="Times New Roman"/>
          <w:color w:val="auto"/>
          <w:sz w:val="32"/>
          <w:szCs w:val="32"/>
          <w:u w:val="none"/>
          <w:lang w:eastAsia="zh-CN"/>
        </w:rPr>
        <w:t>加强</w:t>
      </w:r>
      <w:r>
        <w:rPr>
          <w:rFonts w:hint="eastAsia" w:ascii="Times New Roman" w:hAnsi="Times New Roman" w:eastAsia="仿宋_GB2312" w:cs="Times New Roman"/>
          <w:color w:val="auto"/>
          <w:sz w:val="32"/>
          <w:szCs w:val="32"/>
          <w:u w:val="none"/>
        </w:rPr>
        <w:t>对施工废渣、废油、废水和物料管理，禁止向海域排放</w:t>
      </w:r>
      <w:r>
        <w:rPr>
          <w:rFonts w:hint="eastAsia" w:ascii="Times New Roman" w:hAnsi="Times New Roman" w:eastAsia="仿宋_GB2312" w:cs="Times New Roman"/>
          <w:color w:val="auto"/>
          <w:sz w:val="32"/>
          <w:szCs w:val="32"/>
          <w:u w:val="none"/>
          <w:lang w:eastAsia="zh-CN"/>
        </w:rPr>
        <w:t>。</w:t>
      </w:r>
      <w:r>
        <w:rPr>
          <w:rFonts w:hint="eastAsia" w:ascii="Times New Roman" w:hAnsi="Times New Roman" w:eastAsia="仿宋_GB2312" w:cs="Times New Roman"/>
          <w:color w:val="auto"/>
          <w:sz w:val="32"/>
          <w:szCs w:val="32"/>
          <w:highlight w:val="none"/>
          <w:u w:val="none"/>
          <w:lang w:val="en-US" w:eastAsia="zh-CN"/>
        </w:rPr>
        <w:t>营运期沿线</w:t>
      </w:r>
      <w:r>
        <w:rPr>
          <w:rFonts w:hint="eastAsia" w:ascii="Times New Roman" w:hAnsi="Times New Roman" w:eastAsia="仿宋_GB2312" w:cs="Times New Roman"/>
          <w:color w:val="auto"/>
          <w:sz w:val="32"/>
          <w:szCs w:val="32"/>
          <w:highlight w:val="none"/>
          <w:u w:val="none"/>
        </w:rPr>
        <w:t>停车区、服务区等</w:t>
      </w:r>
      <w:r>
        <w:rPr>
          <w:rFonts w:hint="eastAsia" w:ascii="Times New Roman" w:hAnsi="Times New Roman" w:eastAsia="仿宋_GB2312" w:cs="Times New Roman"/>
          <w:color w:val="auto"/>
          <w:sz w:val="32"/>
          <w:szCs w:val="32"/>
          <w:highlight w:val="none"/>
          <w:u w:val="none"/>
          <w:lang w:val="en-US" w:eastAsia="zh-CN"/>
        </w:rPr>
        <w:t>服务设施</w:t>
      </w:r>
      <w:r>
        <w:rPr>
          <w:rFonts w:hint="eastAsia" w:ascii="Times New Roman" w:hAnsi="Times New Roman" w:eastAsia="仿宋_GB2312" w:cs="Times New Roman"/>
          <w:color w:val="auto"/>
          <w:sz w:val="32"/>
          <w:szCs w:val="32"/>
          <w:highlight w:val="none"/>
          <w:u w:val="none"/>
        </w:rPr>
        <w:t>生活污水排入自建地埋一体式污水处理设施处理后</w:t>
      </w:r>
      <w:r>
        <w:rPr>
          <w:rFonts w:hint="eastAsia" w:ascii="Times New Roman" w:hAnsi="Times New Roman" w:cs="Times New Roman"/>
          <w:color w:val="auto"/>
          <w:sz w:val="32"/>
          <w:szCs w:val="32"/>
          <w:highlight w:val="none"/>
          <w:u w:val="none"/>
          <w:lang w:eastAsia="zh-CN"/>
        </w:rPr>
        <w:t>，优先</w:t>
      </w:r>
      <w:r>
        <w:rPr>
          <w:rFonts w:hint="eastAsia" w:ascii="Times New Roman" w:hAnsi="Times New Roman" w:eastAsia="仿宋_GB2312" w:cs="Times New Roman"/>
          <w:color w:val="auto"/>
          <w:sz w:val="32"/>
          <w:szCs w:val="32"/>
          <w:highlight w:val="none"/>
          <w:u w:val="none"/>
          <w:lang w:eastAsia="zh-CN"/>
        </w:rPr>
        <w:t>回</w:t>
      </w:r>
      <w:r>
        <w:rPr>
          <w:rFonts w:hint="eastAsia" w:ascii="Times New Roman" w:hAnsi="Times New Roman" w:eastAsia="仿宋_GB2312" w:cs="Times New Roman"/>
          <w:color w:val="auto"/>
          <w:sz w:val="32"/>
          <w:szCs w:val="32"/>
          <w:highlight w:val="none"/>
          <w:u w:val="none"/>
        </w:rPr>
        <w:t>用于</w:t>
      </w:r>
      <w:r>
        <w:rPr>
          <w:rFonts w:hint="eastAsia" w:ascii="Times New Roman" w:hAnsi="Times New Roman" w:eastAsia="仿宋_GB2312" w:cs="Times New Roman"/>
          <w:color w:val="auto"/>
          <w:sz w:val="32"/>
          <w:szCs w:val="32"/>
          <w:highlight w:val="none"/>
          <w:u w:val="none"/>
          <w:lang w:val="en-US" w:eastAsia="zh-CN"/>
        </w:rPr>
        <w:t>场地绿化，不能回用的由槽车外运至</w:t>
      </w:r>
      <w:r>
        <w:rPr>
          <w:rFonts w:hint="eastAsia" w:ascii="Times New Roman" w:hAnsi="Times New Roman" w:cs="Times New Roman"/>
          <w:color w:val="auto"/>
          <w:sz w:val="32"/>
          <w:szCs w:val="32"/>
          <w:highlight w:val="none"/>
          <w:u w:val="none"/>
          <w:lang w:val="en-US" w:eastAsia="zh-CN"/>
        </w:rPr>
        <w:t>连江县</w:t>
      </w:r>
      <w:r>
        <w:rPr>
          <w:rFonts w:hint="eastAsia" w:ascii="Times New Roman" w:hAnsi="Times New Roman" w:cs="Times New Roman"/>
          <w:color w:val="auto"/>
          <w:sz w:val="32"/>
          <w:highlight w:val="none"/>
          <w:u w:val="none"/>
        </w:rPr>
        <w:t>晓澳片区</w:t>
      </w:r>
      <w:r>
        <w:rPr>
          <w:rFonts w:hint="eastAsia" w:ascii="Times New Roman" w:hAnsi="Times New Roman" w:eastAsia="仿宋_GB2312" w:cs="Times New Roman"/>
          <w:color w:val="auto"/>
          <w:sz w:val="32"/>
          <w:szCs w:val="32"/>
          <w:highlight w:val="none"/>
          <w:u w:val="none"/>
          <w:lang w:val="en-US" w:eastAsia="zh-CN"/>
        </w:rPr>
        <w:t>污水处理厂处理。</w:t>
      </w:r>
    </w:p>
    <w:p w14:paraId="5D73C01F">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right="0" w:rightChars="0" w:firstLine="643" w:firstLineChars="200"/>
        <w:jc w:val="both"/>
        <w:textAlignment w:val="auto"/>
        <w:outlineLvl w:val="9"/>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3.大气污染防治</w:t>
      </w:r>
    </w:p>
    <w:p w14:paraId="6B83BC1B">
      <w:pPr>
        <w:keepNext w:val="0"/>
        <w:keepLines w:val="0"/>
        <w:pageBreakBefore w:val="0"/>
        <w:widowControl/>
        <w:kinsoku/>
        <w:wordWrap/>
        <w:overflowPunct/>
        <w:topLinePunct w:val="0"/>
        <w:autoSpaceDE/>
        <w:autoSpaceDN/>
        <w:bidi w:val="0"/>
        <w:adjustRightInd/>
        <w:snapToGrid/>
        <w:spacing w:line="500" w:lineRule="exact"/>
        <w:ind w:right="0" w:rightChars="0" w:firstLine="640" w:firstLineChars="200"/>
        <w:jc w:val="left"/>
        <w:textAlignment w:val="auto"/>
        <w:outlineLvl w:val="9"/>
        <w:rPr>
          <w:rFonts w:hint="eastAsia" w:ascii="仿宋_GB2312" w:hAnsi="仿宋_GB2312"/>
          <w:color w:val="000000"/>
          <w:sz w:val="32"/>
          <w:lang w:eastAsia="zh-CN"/>
        </w:rPr>
      </w:pPr>
      <w:r>
        <w:rPr>
          <w:rFonts w:hint="eastAsia" w:ascii="仿宋_GB2312" w:hAnsi="仿宋_GB2312" w:eastAsia="仿宋_GB2312" w:cs="仿宋_GB2312"/>
          <w:sz w:val="32"/>
          <w:szCs w:val="32"/>
          <w:highlight w:val="none"/>
          <w:u w:val="none"/>
        </w:rPr>
        <w:t>易扬尘作业应采取湿法。</w:t>
      </w:r>
      <w:r>
        <w:rPr>
          <w:rFonts w:hint="eastAsia" w:ascii="仿宋_GB2312" w:hAnsi="仿宋_GB2312" w:eastAsia="仿宋_GB2312" w:cs="仿宋_GB2312"/>
          <w:color w:val="auto"/>
          <w:sz w:val="32"/>
          <w:szCs w:val="32"/>
          <w:highlight w:val="none"/>
          <w:u w:val="none"/>
        </w:rPr>
        <w:t>施工期加强场地道路洒水降尘</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运输土石方、粉状材料应采用密闭运输等适当的防护措施</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sz w:val="32"/>
          <w:szCs w:val="32"/>
          <w:highlight w:val="none"/>
          <w:u w:val="none"/>
        </w:rPr>
        <w:t>施工过程采取混凝土密闭拌合、砂石骨料密闭加工、集气罩及除尘设施、喷淋洒水、施工场地的出入口内侧设置洗车平台、物料堆放场应设围挡</w:t>
      </w:r>
      <w:r>
        <w:rPr>
          <w:rFonts w:hint="eastAsia" w:cs="仿宋_GB2312"/>
          <w:sz w:val="32"/>
          <w:szCs w:val="32"/>
          <w:highlight w:val="none"/>
          <w:u w:val="none"/>
          <w:lang w:eastAsia="zh-CN"/>
        </w:rPr>
        <w:t>、</w:t>
      </w:r>
      <w:r>
        <w:rPr>
          <w:rFonts w:hint="eastAsia" w:ascii="仿宋_GB2312" w:hAnsi="仿宋_GB2312" w:eastAsia="仿宋_GB2312" w:cs="仿宋_GB2312"/>
          <w:sz w:val="32"/>
          <w:szCs w:val="32"/>
          <w:highlight w:val="none"/>
          <w:u w:val="none"/>
        </w:rPr>
        <w:t>加蓬布覆盖等降尘、洒水抑尘措施。</w:t>
      </w:r>
    </w:p>
    <w:p w14:paraId="519C09C7">
      <w:pPr>
        <w:keepNext w:val="0"/>
        <w:keepLines w:val="0"/>
        <w:pageBreakBefore w:val="0"/>
        <w:widowControl/>
        <w:kinsoku/>
        <w:wordWrap/>
        <w:overflowPunct/>
        <w:topLinePunct w:val="0"/>
        <w:autoSpaceDE/>
        <w:autoSpaceDN/>
        <w:bidi w:val="0"/>
        <w:adjustRightInd/>
        <w:snapToGrid/>
        <w:spacing w:line="360" w:lineRule="auto"/>
        <w:ind w:right="0" w:rightChars="0" w:firstLine="643" w:firstLineChars="200"/>
        <w:jc w:val="left"/>
        <w:textAlignment w:val="auto"/>
        <w:outlineLvl w:val="9"/>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4.噪声污染防治</w:t>
      </w:r>
    </w:p>
    <w:p w14:paraId="503E08D7">
      <w:pPr>
        <w:pStyle w:val="10"/>
        <w:keepNext w:val="0"/>
        <w:keepLines w:val="0"/>
        <w:pageBreakBefore w:val="0"/>
        <w:widowControl w:val="0"/>
        <w:kinsoku/>
        <w:wordWrap/>
        <w:overflowPunct/>
        <w:topLinePunct w:val="0"/>
        <w:autoSpaceDE/>
        <w:autoSpaceDN/>
        <w:bidi w:val="0"/>
        <w:snapToGrid/>
        <w:spacing w:line="50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highlight w:val="none"/>
          <w:u w:val="none"/>
        </w:rPr>
        <w:t>合理安排施工时间和布置施工场地，临近敏感建筑物的施工场地设置临时隔声围墙。</w:t>
      </w:r>
      <w:r>
        <w:rPr>
          <w:rFonts w:hint="eastAsia" w:ascii="仿宋_GB2312" w:eastAsia="仿宋_GB2312" w:cs="宋体"/>
          <w:kern w:val="0"/>
          <w:sz w:val="32"/>
          <w:szCs w:val="32"/>
          <w:highlight w:val="none"/>
          <w:lang w:val="en-US" w:eastAsia="zh-CN" w:bidi="ar"/>
        </w:rPr>
        <w:t>对预</w:t>
      </w:r>
      <w:r>
        <w:rPr>
          <w:rFonts w:hint="eastAsia" w:ascii="仿宋_GB2312" w:hAnsi="Times New Roman" w:eastAsia="仿宋_GB2312" w:cs="宋体"/>
          <w:kern w:val="0"/>
          <w:sz w:val="32"/>
          <w:szCs w:val="32"/>
          <w:highlight w:val="none"/>
          <w:lang w:val="en-US" w:eastAsia="zh-CN" w:bidi="ar"/>
        </w:rPr>
        <w:t>测超标的声环境保护目标</w:t>
      </w:r>
      <w:r>
        <w:rPr>
          <w:rFonts w:hint="eastAsia" w:ascii="仿宋_GB2312" w:hAnsi="仿宋_GB2312" w:eastAsia="仿宋_GB2312" w:cs="仿宋_GB2312"/>
          <w:color w:val="auto"/>
          <w:sz w:val="32"/>
          <w:szCs w:val="32"/>
          <w:highlight w:val="none"/>
          <w:u w:val="none"/>
        </w:rPr>
        <w:t>应</w:t>
      </w:r>
      <w:r>
        <w:rPr>
          <w:rFonts w:hint="eastAsia" w:ascii="仿宋_GB2312" w:hAnsi="仿宋_GB2312" w:cs="仿宋_GB2312"/>
          <w:color w:val="auto"/>
          <w:sz w:val="32"/>
          <w:szCs w:val="32"/>
          <w:highlight w:val="none"/>
          <w:u w:val="none"/>
          <w:lang w:eastAsia="zh-CN"/>
        </w:rPr>
        <w:t>落实《报告书》提出的</w:t>
      </w:r>
      <w:r>
        <w:rPr>
          <w:rFonts w:hint="eastAsia" w:ascii="仿宋_GB2312" w:hAnsi="仿宋_GB2312" w:eastAsia="仿宋_GB2312" w:cs="仿宋_GB2312"/>
          <w:color w:val="auto"/>
          <w:sz w:val="32"/>
          <w:szCs w:val="32"/>
          <w:highlight w:val="none"/>
          <w:u w:val="none"/>
        </w:rPr>
        <w:t>降噪措施</w:t>
      </w:r>
      <w:r>
        <w:rPr>
          <w:rFonts w:hint="eastAsia" w:ascii="仿宋_GB2312" w:hAnsi="仿宋_GB2312" w:cs="仿宋_GB2312"/>
          <w:color w:val="auto"/>
          <w:sz w:val="32"/>
          <w:szCs w:val="32"/>
          <w:highlight w:val="none"/>
          <w:u w:val="none"/>
          <w:lang w:eastAsia="zh-CN"/>
        </w:rPr>
        <w:t>，同时</w:t>
      </w:r>
      <w:r>
        <w:rPr>
          <w:rFonts w:hint="eastAsia" w:ascii="仿宋_GB2312" w:hAnsi="仿宋_GB2312" w:eastAsia="仿宋_GB2312" w:cs="仿宋_GB2312"/>
          <w:color w:val="auto"/>
          <w:sz w:val="32"/>
          <w:szCs w:val="32"/>
          <w:highlight w:val="none"/>
          <w:u w:val="none"/>
        </w:rPr>
        <w:t>加强对沿线声环境敏感目标的噪声监测，并预留资金，根据跟踪监测结果适时采取降噪措施。</w:t>
      </w:r>
      <w:r>
        <w:rPr>
          <w:rFonts w:hint="eastAsia" w:ascii="仿宋_GB2312" w:hAnsi="仿宋_GB2312" w:cs="仿宋_GB2312"/>
          <w:color w:val="auto"/>
          <w:sz w:val="32"/>
          <w:szCs w:val="32"/>
          <w:highlight w:val="none"/>
          <w:u w:val="none"/>
          <w:lang w:eastAsia="zh-CN"/>
        </w:rPr>
        <w:t>你司应</w:t>
      </w:r>
      <w:r>
        <w:rPr>
          <w:rFonts w:hint="eastAsia" w:ascii="仿宋_GB2312" w:hAnsi="仿宋_GB2312" w:eastAsia="仿宋_GB2312" w:cs="仿宋_GB2312"/>
          <w:color w:val="auto"/>
          <w:sz w:val="32"/>
          <w:szCs w:val="32"/>
          <w:highlight w:val="none"/>
          <w:u w:val="none"/>
        </w:rPr>
        <w:t>提请并积极配合当地政府做好公路沿线两侧用地的规划控制</w:t>
      </w:r>
      <w:r>
        <w:rPr>
          <w:rFonts w:hint="eastAsia" w:ascii="仿宋_GB2312" w:hAnsi="仿宋_GB2312" w:eastAsia="仿宋_GB2312" w:cs="仿宋_GB2312"/>
          <w:color w:val="auto"/>
          <w:sz w:val="32"/>
          <w:szCs w:val="32"/>
          <w:lang w:eastAsia="zh-CN"/>
        </w:rPr>
        <w:t>，避免交通噪声对新增声环境敏感目标的噪声影响</w:t>
      </w:r>
      <w:r>
        <w:rPr>
          <w:rFonts w:hint="eastAsia" w:ascii="仿宋_GB2312" w:hAnsi="仿宋_GB2312" w:eastAsia="仿宋_GB2312" w:cs="仿宋_GB2312"/>
          <w:color w:val="auto"/>
          <w:sz w:val="32"/>
          <w:szCs w:val="32"/>
          <w:highlight w:val="none"/>
          <w:u w:val="none"/>
        </w:rPr>
        <w:t>。</w:t>
      </w:r>
    </w:p>
    <w:p w14:paraId="46243DFC">
      <w:pPr>
        <w:keepNext w:val="0"/>
        <w:keepLines w:val="0"/>
        <w:pageBreakBefore w:val="0"/>
        <w:widowControl w:val="0"/>
        <w:kinsoku/>
        <w:wordWrap/>
        <w:overflowPunct/>
        <w:topLinePunct w:val="0"/>
        <w:autoSpaceDE/>
        <w:autoSpaceDN/>
        <w:bidi w:val="0"/>
        <w:adjustRightInd/>
        <w:snapToGrid/>
        <w:spacing w:line="500" w:lineRule="exact"/>
        <w:ind w:right="0" w:rightChars="0" w:firstLine="643" w:firstLineChars="200"/>
        <w:jc w:val="both"/>
        <w:textAlignment w:val="auto"/>
        <w:outlineLvl w:val="9"/>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5.固废污染防治</w:t>
      </w:r>
    </w:p>
    <w:p w14:paraId="01F86DE7">
      <w:pPr>
        <w:pStyle w:val="39"/>
        <w:keepNext w:val="0"/>
        <w:keepLines w:val="0"/>
        <w:pageBreakBefore w:val="0"/>
        <w:widowControl w:val="0"/>
        <w:kinsoku/>
        <w:wordWrap/>
        <w:overflowPunct/>
        <w:topLinePunct w:val="0"/>
        <w:autoSpaceDE/>
        <w:autoSpaceDN/>
        <w:bidi w:val="0"/>
        <w:snapToGrid/>
        <w:spacing w:line="54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Times New Roman" w:eastAsia="仿宋_GB2312" w:cs="Times New Roman"/>
          <w:color w:val="auto"/>
          <w:sz w:val="32"/>
          <w:szCs w:val="32"/>
          <w:highlight w:val="none"/>
          <w:u w:val="none"/>
        </w:rPr>
        <w:t>严禁违规倾倒、堆放固体废物</w:t>
      </w:r>
      <w:r>
        <w:rPr>
          <w:rFonts w:hint="eastAsia" w:ascii="仿宋_GB2312" w:eastAsia="仿宋_GB2312" w:cs="Times New Roman"/>
          <w:color w:val="auto"/>
          <w:sz w:val="32"/>
          <w:szCs w:val="32"/>
          <w:highlight w:val="none"/>
          <w:u w:val="none"/>
          <w:lang w:eastAsia="zh-CN"/>
        </w:rPr>
        <w:t>。落实固体废物分类处理和处置，不得随意排放。桥梁施工</w:t>
      </w:r>
      <w:r>
        <w:rPr>
          <w:rFonts w:hint="default" w:ascii="Times New Roman" w:hAnsi="Times New Roman" w:eastAsia="仿宋_GB2312" w:cs="Times New Roman"/>
          <w:color w:val="auto"/>
          <w:sz w:val="32"/>
          <w:szCs w:val="32"/>
          <w:u w:val="none"/>
          <w:lang w:eastAsia="zh-CN"/>
        </w:rPr>
        <w:t>钻孔泥浆和钻渣</w:t>
      </w:r>
      <w:r>
        <w:rPr>
          <w:rFonts w:hint="eastAsia" w:ascii="仿宋_GB2312" w:hAnsi="仿宋_GB2312" w:eastAsia="仿宋_GB2312" w:cs="仿宋_GB2312"/>
          <w:color w:val="auto"/>
          <w:sz w:val="32"/>
          <w:szCs w:val="32"/>
          <w:highlight w:val="none"/>
          <w:u w:val="none"/>
          <w:lang w:eastAsia="zh-CN"/>
        </w:rPr>
        <w:t>经处理后</w:t>
      </w:r>
      <w:r>
        <w:rPr>
          <w:rFonts w:hint="eastAsia" w:ascii="仿宋_GB2312" w:hAnsi="仿宋_GB2312" w:eastAsia="仿宋_GB2312" w:cs="仿宋_GB2312"/>
          <w:color w:val="auto"/>
          <w:sz w:val="32"/>
          <w:szCs w:val="32"/>
          <w:highlight w:val="none"/>
          <w:u w:val="none"/>
          <w:lang w:val="en-US" w:eastAsia="zh-CN"/>
        </w:rPr>
        <w:t>回用</w:t>
      </w:r>
      <w:r>
        <w:rPr>
          <w:rFonts w:hint="eastAsia" w:ascii="仿宋_GB2312" w:hAnsi="仿宋_GB2312" w:eastAsia="仿宋_GB2312" w:cs="仿宋_GB2312"/>
          <w:color w:val="auto"/>
          <w:sz w:val="32"/>
          <w:szCs w:val="32"/>
          <w:highlight w:val="none"/>
          <w:u w:val="none"/>
          <w:lang w:eastAsia="zh-CN"/>
        </w:rPr>
        <w:t>，干化场地</w:t>
      </w:r>
      <w:r>
        <w:rPr>
          <w:rFonts w:hint="eastAsia" w:ascii="仿宋_GB2312" w:hAnsi="仿宋_GB2312" w:eastAsia="仿宋_GB2312" w:cs="仿宋_GB2312"/>
          <w:color w:val="auto"/>
          <w:sz w:val="32"/>
          <w:szCs w:val="32"/>
          <w:highlight w:val="none"/>
          <w:u w:val="none"/>
          <w:lang w:eastAsia="zh-CN"/>
        </w:rPr>
        <w:t>面落实防渗措施。施工期产生的</w:t>
      </w:r>
      <w:r>
        <w:rPr>
          <w:rFonts w:hint="eastAsia" w:ascii="仿宋_GB2312" w:hAnsi="仿宋_GB2312" w:eastAsia="仿宋_GB2312" w:cs="仿宋_GB2312"/>
          <w:color w:val="auto"/>
          <w:sz w:val="32"/>
          <w:szCs w:val="32"/>
          <w:highlight w:val="none"/>
          <w:u w:val="none"/>
          <w:lang w:bidi="he-IL"/>
        </w:rPr>
        <w:t>废</w:t>
      </w:r>
      <w:r>
        <w:rPr>
          <w:rFonts w:hint="eastAsia" w:ascii="仿宋_GB2312" w:hAnsi="仿宋_GB2312" w:eastAsia="仿宋_GB2312" w:cs="仿宋_GB2312"/>
          <w:color w:val="auto"/>
          <w:sz w:val="32"/>
          <w:szCs w:val="32"/>
          <w:highlight w:val="none"/>
          <w:u w:val="none"/>
          <w:lang w:val="en-US" w:eastAsia="zh-CN" w:bidi="he-IL"/>
        </w:rPr>
        <w:t>机油及废机油桶</w:t>
      </w:r>
      <w:r>
        <w:rPr>
          <w:rFonts w:hint="eastAsia" w:ascii="仿宋_GB2312" w:hAnsi="仿宋_GB2312" w:eastAsia="仿宋_GB2312" w:cs="仿宋_GB2312"/>
          <w:color w:val="auto"/>
          <w:sz w:val="32"/>
          <w:szCs w:val="32"/>
          <w:highlight w:val="none"/>
          <w:u w:val="none"/>
          <w:lang w:bidi="he-IL"/>
        </w:rPr>
        <w:t>、隔油沉淀池</w:t>
      </w:r>
      <w:r>
        <w:rPr>
          <w:rFonts w:hint="eastAsia" w:ascii="仿宋_GB2312" w:hAnsi="仿宋_GB2312" w:eastAsia="仿宋_GB2312" w:cs="仿宋_GB2312"/>
          <w:color w:val="auto"/>
          <w:sz w:val="32"/>
          <w:szCs w:val="32"/>
          <w:highlight w:val="none"/>
          <w:u w:val="none"/>
          <w:lang w:eastAsia="zh-CN" w:bidi="he-IL"/>
        </w:rPr>
        <w:t>污泥等危险废物应委托有资质的单位处置</w:t>
      </w:r>
      <w:r>
        <w:rPr>
          <w:rFonts w:hint="eastAsia" w:ascii="仿宋_GB2312" w:hAnsi="仿宋_GB2312" w:eastAsia="仿宋_GB2312" w:cs="仿宋_GB2312"/>
          <w:color w:val="auto"/>
          <w:sz w:val="32"/>
          <w:szCs w:val="32"/>
          <w:highlight w:val="none"/>
          <w:u w:val="none"/>
          <w:lang w:eastAsia="zh-CN" w:bidi="he-IL"/>
        </w:rPr>
        <w:t>。</w:t>
      </w:r>
      <w:r>
        <w:rPr>
          <w:rFonts w:hint="eastAsia" w:ascii="仿宋_GB2312" w:hAnsi="仿宋_GB2312" w:eastAsia="仿宋_GB2312" w:cs="仿宋_GB2312"/>
          <w:color w:val="auto"/>
          <w:sz w:val="32"/>
          <w:szCs w:val="32"/>
          <w:highlight w:val="none"/>
          <w:u w:val="none"/>
          <w:lang w:val="en-US" w:eastAsia="zh-CN" w:bidi="he-IL"/>
        </w:rPr>
        <w:t>建筑垃圾运往政府指定地点处置</w:t>
      </w:r>
      <w:r>
        <w:rPr>
          <w:rFonts w:hint="eastAsia" w:ascii="仿宋_GB2312" w:hAnsi="仿宋_GB2312" w:eastAsia="仿宋_GB2312" w:cs="仿宋_GB2312"/>
          <w:color w:val="auto"/>
          <w:sz w:val="32"/>
          <w:szCs w:val="32"/>
          <w:highlight w:val="none"/>
          <w:u w:val="none"/>
        </w:rPr>
        <w:t>。</w:t>
      </w:r>
      <w:r>
        <w:rPr>
          <w:rFonts w:hint="eastAsia" w:ascii="仿宋_GB2312" w:hAnsi="仿宋_GB2312" w:eastAsia="仿宋_GB2312" w:cs="仿宋_GB2312"/>
          <w:color w:val="auto"/>
          <w:sz w:val="32"/>
          <w:szCs w:val="32"/>
          <w:highlight w:val="none"/>
          <w:u w:val="none"/>
        </w:rPr>
        <w:t>施工期生活垃圾定期委托环卫部门清运处理。</w:t>
      </w:r>
    </w:p>
    <w:p w14:paraId="343E1534">
      <w:pPr>
        <w:keepNext w:val="0"/>
        <w:keepLines w:val="0"/>
        <w:pageBreakBefore w:val="0"/>
        <w:widowControl w:val="0"/>
        <w:kinsoku/>
        <w:wordWrap/>
        <w:overflowPunct/>
        <w:topLinePunct w:val="0"/>
        <w:autoSpaceDE/>
        <w:autoSpaceDN/>
        <w:bidi w:val="0"/>
        <w:adjustRightInd/>
        <w:snapToGrid/>
        <w:spacing w:line="500" w:lineRule="exact"/>
        <w:ind w:right="0" w:rightChars="0" w:firstLine="643" w:firstLineChars="200"/>
        <w:jc w:val="both"/>
        <w:textAlignment w:val="auto"/>
        <w:outlineLvl w:val="9"/>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6.环境风险防范</w:t>
      </w:r>
    </w:p>
    <w:p w14:paraId="2F23AD0F">
      <w:pPr>
        <w:pStyle w:val="42"/>
        <w:spacing w:line="540" w:lineRule="exact"/>
        <w:ind w:firstLine="640" w:firstLineChars="200"/>
        <w:jc w:val="left"/>
        <w:rPr>
          <w:rFonts w:hint="eastAsia" w:ascii="Times New Roman" w:hAnsi="Times New Roman" w:eastAsia="仿宋_GB2312" w:cs="Times New Roman"/>
          <w:color w:val="auto"/>
          <w:sz w:val="32"/>
          <w:szCs w:val="32"/>
          <w:highlight w:val="none"/>
          <w:u w:val="none"/>
          <w:lang w:val="en-US"/>
        </w:rPr>
      </w:pPr>
      <w:r>
        <w:rPr>
          <w:rFonts w:hint="eastAsia" w:ascii="Times New Roman" w:hAnsi="Times New Roman" w:eastAsia="仿宋_GB2312" w:cs="Times New Roman"/>
          <w:color w:val="auto"/>
          <w:sz w:val="32"/>
          <w:szCs w:val="32"/>
          <w:highlight w:val="none"/>
          <w:u w:val="none"/>
          <w:lang w:eastAsia="zh-CN"/>
        </w:rPr>
        <w:t>全路段设置警示牌，按规范设计桥梁防撞等级。应设置桥面径流收集系统，</w:t>
      </w:r>
      <w:r>
        <w:rPr>
          <w:rFonts w:hint="eastAsia" w:ascii="Times New Roman" w:hAnsi="Times New Roman" w:eastAsia="仿宋_GB2312" w:cs="Times New Roman"/>
          <w:color w:val="auto"/>
          <w:sz w:val="32"/>
          <w:szCs w:val="32"/>
          <w:highlight w:val="none"/>
          <w:u w:val="none"/>
        </w:rPr>
        <w:t>在桥址两端</w:t>
      </w:r>
      <w:r>
        <w:rPr>
          <w:rFonts w:hint="eastAsia" w:ascii="Times New Roman" w:hAnsi="Times New Roman" w:cs="Times New Roman"/>
          <w:color w:val="auto"/>
          <w:sz w:val="32"/>
          <w:szCs w:val="32"/>
          <w:highlight w:val="none"/>
          <w:u w:val="none"/>
          <w:lang w:eastAsia="zh-CN"/>
        </w:rPr>
        <w:t>建设足够有</w:t>
      </w:r>
      <w:r>
        <w:rPr>
          <w:rFonts w:hint="eastAsia" w:ascii="Times New Roman" w:hAnsi="Times New Roman" w:cs="Times New Roman"/>
          <w:color w:val="auto"/>
          <w:sz w:val="32"/>
          <w:szCs w:val="32"/>
          <w:highlight w:val="none"/>
          <w:u w:val="none"/>
          <w:lang w:eastAsia="zh-CN" w:bidi="he-IL"/>
        </w:rPr>
        <w:t>效容积的事故应急池</w:t>
      </w:r>
      <w:r>
        <w:rPr>
          <w:rFonts w:hint="eastAsia" w:ascii="Times New Roman" w:hAnsi="Times New Roman" w:eastAsia="仿宋_GB2312" w:cs="Times New Roman"/>
          <w:color w:val="auto"/>
          <w:sz w:val="32"/>
          <w:szCs w:val="32"/>
          <w:highlight w:val="none"/>
          <w:u w:val="none"/>
          <w:lang w:eastAsia="zh-CN"/>
        </w:rPr>
        <w:t>。</w:t>
      </w:r>
      <w:r>
        <w:rPr>
          <w:rFonts w:hint="eastAsia" w:ascii="Times New Roman" w:hAnsi="Times New Roman" w:eastAsia="仿宋_GB2312" w:cs="Times New Roman"/>
          <w:color w:val="auto"/>
          <w:sz w:val="32"/>
          <w:szCs w:val="32"/>
          <w:highlight w:val="none"/>
          <w:u w:val="none"/>
          <w:lang w:val="en-US" w:eastAsia="zh-CN" w:bidi="he-IL"/>
        </w:rPr>
        <w:t>运营期应加强危险化学品运输车辆事故环境风险管理</w:t>
      </w:r>
      <w:r>
        <w:rPr>
          <w:rFonts w:hint="eastAsia" w:ascii="Times New Roman" w:hAnsi="Times New Roman" w:cs="Times New Roman"/>
          <w:color w:val="auto"/>
          <w:sz w:val="32"/>
          <w:szCs w:val="32"/>
          <w:highlight w:val="none"/>
          <w:u w:val="none"/>
          <w:lang w:val="en-US" w:eastAsia="zh-CN" w:bidi="he-IL"/>
        </w:rPr>
        <w:t>，</w:t>
      </w:r>
      <w:r>
        <w:rPr>
          <w:rFonts w:hint="eastAsia" w:ascii="Times New Roman" w:hAnsi="Times New Roman" w:eastAsia="仿宋_GB2312" w:cs="Times New Roman"/>
          <w:color w:val="auto"/>
          <w:sz w:val="32"/>
          <w:szCs w:val="32"/>
          <w:highlight w:val="none"/>
          <w:u w:val="none"/>
          <w:lang w:eastAsia="zh-CN"/>
        </w:rPr>
        <w:t>制定突发环境事件应急预案并报连江生态环境局备案。</w:t>
      </w:r>
    </w:p>
    <w:p w14:paraId="758BE5CF">
      <w:pPr>
        <w:keepNext w:val="0"/>
        <w:keepLines w:val="0"/>
        <w:pageBreakBefore w:val="0"/>
        <w:widowControl w:val="0"/>
        <w:kinsoku/>
        <w:wordWrap/>
        <w:overflowPunct/>
        <w:topLinePunct w:val="0"/>
        <w:autoSpaceDE/>
        <w:autoSpaceDN/>
        <w:bidi w:val="0"/>
        <w:adjustRightInd/>
        <w:snapToGrid/>
        <w:spacing w:line="500" w:lineRule="exact"/>
        <w:ind w:right="0" w:rightChars="0" w:firstLine="640" w:firstLineChars="200"/>
        <w:jc w:val="left"/>
        <w:textAlignment w:val="auto"/>
        <w:outlineLvl w:val="9"/>
        <w:rPr>
          <w:rFonts w:hint="eastAsia" w:ascii="仿宋_GB2312" w:eastAsia="仿宋_GB2312"/>
          <w:b w:val="0"/>
          <w:bCs w:val="0"/>
          <w:sz w:val="32"/>
          <w:szCs w:val="32"/>
          <w:lang w:eastAsia="zh-CN"/>
        </w:rPr>
      </w:pPr>
      <w:r>
        <w:rPr>
          <w:rFonts w:hint="eastAsia" w:ascii="仿宋_GB2312" w:eastAsia="仿宋_GB2312"/>
          <w:b w:val="0"/>
          <w:bCs w:val="0"/>
          <w:sz w:val="32"/>
          <w:szCs w:val="32"/>
          <w:lang w:eastAsia="zh-CN"/>
        </w:rPr>
        <w:t>三、排放标准</w:t>
      </w:r>
    </w:p>
    <w:p w14:paraId="2FE99171">
      <w:pPr>
        <w:spacing w:line="500" w:lineRule="exact"/>
        <w:ind w:firstLine="602"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0"/>
          <w:szCs w:val="30"/>
        </w:rPr>
        <w:t>1.</w:t>
      </w:r>
      <w:r>
        <w:rPr>
          <w:rFonts w:hint="eastAsia" w:ascii="仿宋_GB2312" w:hAnsi="仿宋_GB2312" w:eastAsia="仿宋_GB2312" w:cs="仿宋_GB2312"/>
          <w:b/>
          <w:bCs/>
          <w:color w:val="auto"/>
          <w:sz w:val="32"/>
          <w:szCs w:val="32"/>
        </w:rPr>
        <w:t>废气。</w:t>
      </w:r>
      <w:r>
        <w:rPr>
          <w:rFonts w:hint="eastAsia" w:ascii="仿宋_GB2312" w:hAnsi="仿宋_GB2312" w:eastAsia="仿宋_GB2312" w:cs="仿宋_GB2312"/>
          <w:color w:val="auto"/>
          <w:sz w:val="32"/>
          <w:szCs w:val="32"/>
        </w:rPr>
        <w:t>施工期扬尘执行《大气污染物综合排放标准》(GB16297-1996)表2中相应的无组织排放监控浓度限值。</w:t>
      </w:r>
      <w:r>
        <w:rPr>
          <w:rFonts w:hint="eastAsia" w:ascii="仿宋_GB2312" w:hAnsi="仿宋_GB2312" w:eastAsia="仿宋_GB2312" w:cs="仿宋_GB2312"/>
          <w:sz w:val="32"/>
          <w:szCs w:val="32"/>
          <w:u w:val="none"/>
        </w:rPr>
        <w:t>水泥筒仓等及搅拌系统排放的粉尘废气执行《水泥工业大气污染物排放标准》（GB 4915-2013）及其修改单表2中大气污染物特别排放限值要求；</w:t>
      </w:r>
      <w:r>
        <w:rPr>
          <w:rFonts w:hint="eastAsia" w:ascii="仿宋_GB2312" w:hAnsi="仿宋_GB2312" w:eastAsia="仿宋_GB2312" w:cs="仿宋_GB2312"/>
          <w:sz w:val="32"/>
          <w:szCs w:val="32"/>
          <w:highlight w:val="none"/>
          <w:u w:val="none"/>
        </w:rPr>
        <w:t>拌和站粉尘废气无组织排放</w:t>
      </w:r>
      <w:r>
        <w:rPr>
          <w:rFonts w:hint="eastAsia" w:cs="仿宋_GB2312"/>
          <w:sz w:val="32"/>
          <w:szCs w:val="32"/>
          <w:highlight w:val="none"/>
          <w:u w:val="none"/>
          <w:lang w:eastAsia="zh-CN"/>
        </w:rPr>
        <w:t>执行</w:t>
      </w:r>
      <w:r>
        <w:rPr>
          <w:rFonts w:hint="eastAsia" w:ascii="仿宋_GB2312" w:hAnsi="仿宋_GB2312" w:eastAsia="仿宋_GB2312" w:cs="仿宋_GB2312"/>
          <w:sz w:val="32"/>
          <w:szCs w:val="32"/>
          <w:highlight w:val="none"/>
          <w:u w:val="none"/>
        </w:rPr>
        <w:t>福建省地方标准《水泥工业大气污染物排放标准》（DB35/1311-2013）中表3排放限值要求。服务区</w:t>
      </w:r>
      <w:r>
        <w:rPr>
          <w:rFonts w:hint="eastAsia" w:cs="仿宋_GB2312"/>
          <w:sz w:val="32"/>
          <w:szCs w:val="32"/>
          <w:highlight w:val="none"/>
          <w:u w:val="none"/>
          <w:lang w:eastAsia="zh-CN"/>
        </w:rPr>
        <w:t>餐饮</w:t>
      </w:r>
      <w:r>
        <w:rPr>
          <w:rFonts w:hint="eastAsia" w:ascii="仿宋_GB2312" w:hAnsi="仿宋_GB2312" w:eastAsia="仿宋_GB2312" w:cs="仿宋_GB2312"/>
          <w:sz w:val="32"/>
          <w:szCs w:val="32"/>
          <w:highlight w:val="none"/>
          <w:u w:val="none"/>
        </w:rPr>
        <w:t>油烟排放</w:t>
      </w:r>
      <w:r>
        <w:rPr>
          <w:rFonts w:hint="eastAsia" w:cs="仿宋_GB2312"/>
          <w:sz w:val="32"/>
          <w:szCs w:val="32"/>
          <w:highlight w:val="none"/>
          <w:u w:val="none"/>
          <w:lang w:eastAsia="zh-CN"/>
        </w:rPr>
        <w:t>执行</w:t>
      </w:r>
      <w:r>
        <w:rPr>
          <w:rFonts w:hint="eastAsia" w:ascii="仿宋_GB2312" w:hAnsi="仿宋_GB2312" w:eastAsia="仿宋_GB2312" w:cs="仿宋_GB2312"/>
          <w:sz w:val="32"/>
          <w:szCs w:val="32"/>
          <w:highlight w:val="none"/>
          <w:u w:val="none"/>
        </w:rPr>
        <w:t>《饮食业油烟排放标准》（GB18483-2001）要求</w:t>
      </w:r>
      <w:r>
        <w:rPr>
          <w:rFonts w:hint="eastAsia" w:cs="仿宋_GB2312"/>
          <w:sz w:val="32"/>
          <w:szCs w:val="32"/>
          <w:highlight w:val="none"/>
          <w:u w:val="none"/>
          <w:lang w:eastAsia="zh-CN"/>
        </w:rPr>
        <w:t>。</w:t>
      </w:r>
    </w:p>
    <w:p w14:paraId="48BCCA32">
      <w:pPr>
        <w:widowControl/>
        <w:spacing w:line="540" w:lineRule="exact"/>
        <w:ind w:firstLine="643" w:firstLineChars="200"/>
        <w:jc w:val="left"/>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b/>
          <w:bCs/>
          <w:color w:val="auto"/>
          <w:sz w:val="32"/>
          <w:szCs w:val="32"/>
        </w:rPr>
        <w:t>2.噪声。</w:t>
      </w:r>
      <w:r>
        <w:rPr>
          <w:rFonts w:hint="eastAsia" w:ascii="仿宋_GB2312" w:hAnsi="仿宋_GB2312" w:eastAsia="仿宋_GB2312" w:cs="仿宋_GB2312"/>
          <w:color w:val="auto"/>
          <w:sz w:val="32"/>
          <w:szCs w:val="32"/>
        </w:rPr>
        <w:t>施工期场界噪声排放执行《建筑施工噪声排放标准》（GB12523-2025）排放限值。运营期</w:t>
      </w:r>
      <w:r>
        <w:rPr>
          <w:rFonts w:ascii="仿宋_GB2312" w:hAnsi="仿宋_GB2312" w:eastAsia="仿宋_GB2312" w:cs="仿宋_GB2312"/>
          <w:color w:val="auto"/>
          <w:sz w:val="32"/>
          <w:szCs w:val="32"/>
        </w:rPr>
        <w:t>沿线声环境执行《声环境质量标准》（GB3096-2008）中</w:t>
      </w:r>
      <w:r>
        <w:rPr>
          <w:rFonts w:hint="eastAsia" w:ascii="仿宋_GB2312" w:hAnsi="仿宋_GB2312" w:eastAsia="仿宋_GB2312" w:cs="仿宋_GB2312"/>
          <w:color w:val="auto"/>
          <w:sz w:val="32"/>
          <w:szCs w:val="32"/>
        </w:rPr>
        <w:t>2</w:t>
      </w:r>
      <w:r>
        <w:rPr>
          <w:rFonts w:ascii="仿宋_GB2312" w:hAnsi="仿宋_GB2312" w:eastAsia="仿宋_GB2312" w:cs="仿宋_GB2312"/>
          <w:color w:val="auto"/>
          <w:sz w:val="32"/>
          <w:szCs w:val="32"/>
        </w:rPr>
        <w:t>类标准</w:t>
      </w:r>
      <w:r>
        <w:rPr>
          <w:rFonts w:hint="eastAsia" w:ascii="仿宋_GB2312" w:hAnsi="仿宋_GB2312" w:eastAsia="仿宋_GB2312" w:cs="仿宋_GB2312"/>
          <w:color w:val="auto"/>
          <w:sz w:val="32"/>
          <w:szCs w:val="32"/>
        </w:rPr>
        <w:t>（临街建筑以高于三层楼房以上(含三层)的建筑为主，第一排建筑物面向街道一侧范围内执行4a类标准</w:t>
      </w:r>
      <w:r>
        <w:rPr>
          <w:rFonts w:hint="eastAsia" w:cs="仿宋_GB2312"/>
          <w:color w:val="auto"/>
          <w:sz w:val="32"/>
          <w:szCs w:val="32"/>
          <w:lang w:eastAsia="zh-CN"/>
        </w:rPr>
        <w:t>；</w:t>
      </w:r>
      <w:r>
        <w:rPr>
          <w:rFonts w:hint="eastAsia" w:ascii="仿宋_GB2312" w:hAnsi="仿宋_GB2312" w:eastAsia="仿宋_GB2312" w:cs="仿宋_GB2312"/>
          <w:color w:val="auto"/>
          <w:sz w:val="32"/>
          <w:szCs w:val="32"/>
        </w:rPr>
        <w:t>临街建筑以低于三层楼房(含开阔地)的建筑为主，相邻区域为2类声环境功能区，道路边界外35米范围内执行4a类标准)。</w:t>
      </w:r>
      <w:r>
        <w:rPr>
          <w:rFonts w:hint="eastAsia" w:ascii="仿宋_GB2312" w:hAnsi="仿宋_GB2312" w:eastAsia="仿宋_GB2312" w:cs="仿宋_GB2312"/>
          <w:color w:val="auto"/>
          <w:sz w:val="32"/>
          <w:szCs w:val="32"/>
          <w:u w:val="none"/>
          <w:lang w:eastAsia="zh-CN"/>
        </w:rPr>
        <w:t>沿线的医院、学校执行</w:t>
      </w:r>
      <w:r>
        <w:rPr>
          <w:rFonts w:hint="eastAsia" w:ascii="仿宋_GB2312" w:hAnsi="仿宋_GB2312" w:eastAsia="仿宋_GB2312" w:cs="仿宋_GB2312"/>
          <w:color w:val="auto"/>
          <w:sz w:val="32"/>
          <w:szCs w:val="32"/>
          <w:u w:val="none"/>
          <w:lang w:val="en-US" w:eastAsia="zh-CN"/>
        </w:rPr>
        <w:t>2类</w:t>
      </w:r>
      <w:r>
        <w:rPr>
          <w:rFonts w:hint="eastAsia" w:cs="仿宋_GB2312"/>
          <w:color w:val="auto"/>
          <w:sz w:val="32"/>
          <w:szCs w:val="32"/>
          <w:u w:val="none"/>
          <w:lang w:val="en-US" w:eastAsia="zh-CN"/>
        </w:rPr>
        <w:t>标准</w:t>
      </w:r>
      <w:r>
        <w:rPr>
          <w:rFonts w:hint="eastAsia" w:ascii="仿宋_GB2312" w:hAnsi="仿宋_GB2312" w:eastAsia="仿宋_GB2312" w:cs="仿宋_GB2312"/>
          <w:color w:val="auto"/>
          <w:sz w:val="32"/>
          <w:szCs w:val="32"/>
          <w:u w:val="none"/>
          <w:lang w:val="en-US" w:eastAsia="zh-CN"/>
        </w:rPr>
        <w:t>。</w:t>
      </w:r>
    </w:p>
    <w:p w14:paraId="34C2C829">
      <w:pPr>
        <w:widowControl/>
        <w:spacing w:line="540" w:lineRule="exact"/>
        <w:ind w:firstLine="643" w:firstLineChars="200"/>
        <w:jc w:val="left"/>
        <w:rPr>
          <w:rFonts w:hint="eastAsia" w:ascii="仿宋_GB2312" w:hAnsi="仿宋_GB2312" w:eastAsia="仿宋_GB2312" w:cs="仿宋_GB2312"/>
          <w:color w:val="auto"/>
          <w:sz w:val="32"/>
          <w:szCs w:val="32"/>
          <w:u w:val="none"/>
          <w:lang w:val="en-US" w:eastAsia="zh-CN"/>
        </w:rPr>
      </w:pPr>
      <w:r>
        <w:rPr>
          <w:rFonts w:hint="eastAsia" w:ascii="Times New Roman" w:hAnsi="Times New Roman" w:cs="Times New Roman"/>
          <w:b/>
          <w:bCs/>
          <w:color w:val="auto"/>
          <w:sz w:val="32"/>
          <w:szCs w:val="32"/>
          <w:highlight w:val="none"/>
          <w:u w:val="none"/>
          <w:lang w:val="en-US" w:eastAsia="zh-CN"/>
        </w:rPr>
        <w:t>3.</w:t>
      </w:r>
      <w:r>
        <w:rPr>
          <w:rFonts w:hint="eastAsia" w:ascii="仿宋_GB2312" w:hAnsi="仿宋_GB2312" w:cs="仿宋_GB2312"/>
          <w:b/>
          <w:bCs/>
          <w:color w:val="auto"/>
          <w:sz w:val="32"/>
          <w:szCs w:val="32"/>
          <w:highlight w:val="none"/>
          <w:u w:val="none"/>
          <w:lang w:val="en-US" w:eastAsia="zh-CN"/>
        </w:rPr>
        <w:t>废水。</w:t>
      </w:r>
      <w:r>
        <w:rPr>
          <w:rFonts w:hint="eastAsia" w:ascii="仿宋_GB2312" w:hAnsi="仿宋_GB2312" w:eastAsia="仿宋_GB2312" w:cs="仿宋_GB2312"/>
          <w:color w:val="auto"/>
          <w:sz w:val="32"/>
          <w:szCs w:val="32"/>
          <w:highlight w:val="none"/>
          <w:u w:val="none"/>
        </w:rPr>
        <w:t>绿化回用水执行《城市污水再生利用城市杂用水质》</w:t>
      </w:r>
      <w:r>
        <w:rPr>
          <w:rFonts w:hint="eastAsia" w:ascii="仿宋_GB2312" w:hAnsi="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GB</w:t>
      </w:r>
      <w:r>
        <w:rPr>
          <w:rFonts w:hint="eastAsia" w:cs="仿宋_GB2312"/>
          <w:color w:val="auto"/>
          <w:sz w:val="32"/>
          <w:szCs w:val="32"/>
          <w:highlight w:val="none"/>
          <w:u w:val="none"/>
          <w:lang w:val="en-US" w:eastAsia="zh-CN"/>
        </w:rPr>
        <w:t>/</w:t>
      </w:r>
      <w:r>
        <w:rPr>
          <w:rFonts w:hint="eastAsia" w:ascii="仿宋_GB2312" w:hAnsi="仿宋_GB2312" w:eastAsia="仿宋_GB2312" w:cs="仿宋_GB2312"/>
          <w:color w:val="auto"/>
          <w:sz w:val="32"/>
          <w:szCs w:val="32"/>
          <w:highlight w:val="none"/>
          <w:u w:val="none"/>
        </w:rPr>
        <w:t>T18920-2020</w:t>
      </w:r>
      <w:r>
        <w:rPr>
          <w:rFonts w:hint="eastAsia" w:ascii="仿宋_GB2312" w:hAnsi="仿宋_GB2312" w:cs="仿宋_GB2312"/>
          <w:color w:val="auto"/>
          <w:sz w:val="32"/>
          <w:szCs w:val="32"/>
          <w:highlight w:val="none"/>
          <w:u w:val="none"/>
          <w:lang w:eastAsia="zh-CN"/>
        </w:rPr>
        <w:t>》</w:t>
      </w:r>
      <w:r>
        <w:rPr>
          <w:rFonts w:hint="eastAsia" w:ascii="仿宋_GB2312" w:hAnsi="仿宋_GB2312" w:eastAsia="仿宋_GB2312" w:cs="仿宋_GB2312"/>
          <w:color w:val="auto"/>
          <w:sz w:val="32"/>
          <w:szCs w:val="32"/>
          <w:highlight w:val="none"/>
          <w:u w:val="none"/>
        </w:rPr>
        <w:t>中的“城市绿化”排放限值的用水标准，</w:t>
      </w:r>
      <w:r>
        <w:rPr>
          <w:rFonts w:hint="eastAsia" w:ascii="仿宋_GB2312" w:hAnsi="仿宋_GB2312" w:eastAsia="仿宋_GB2312" w:cs="仿宋_GB2312"/>
          <w:color w:val="auto"/>
          <w:sz w:val="32"/>
          <w:szCs w:val="32"/>
          <w:highlight w:val="none"/>
          <w:u w:val="none"/>
          <w:lang w:eastAsia="zh-CN"/>
        </w:rPr>
        <w:t>排</w:t>
      </w:r>
      <w:r>
        <w:rPr>
          <w:rFonts w:hint="eastAsia" w:ascii="仿宋_GB2312" w:hAnsi="仿宋_GB2312" w:cs="仿宋_GB2312"/>
          <w:color w:val="auto"/>
          <w:sz w:val="32"/>
          <w:szCs w:val="32"/>
          <w:highlight w:val="none"/>
          <w:u w:val="none"/>
          <w:lang w:eastAsia="zh-CN"/>
        </w:rPr>
        <w:t>入</w:t>
      </w:r>
      <w:r>
        <w:rPr>
          <w:rFonts w:hint="eastAsia" w:ascii="仿宋_GB2312" w:hAnsi="仿宋_GB2312" w:eastAsia="仿宋_GB2312" w:cs="仿宋_GB2312"/>
          <w:color w:val="auto"/>
          <w:sz w:val="32"/>
          <w:szCs w:val="32"/>
          <w:highlight w:val="none"/>
          <w:u w:val="none"/>
        </w:rPr>
        <w:t>污水厂处理的</w:t>
      </w:r>
      <w:r>
        <w:rPr>
          <w:rFonts w:hint="eastAsia" w:ascii="仿宋_GB2312" w:hAnsi="仿宋_GB2312" w:eastAsia="仿宋_GB2312" w:cs="仿宋_GB2312"/>
          <w:color w:val="auto"/>
          <w:sz w:val="32"/>
          <w:szCs w:val="32"/>
          <w:highlight w:val="none"/>
          <w:u w:val="none"/>
          <w:lang w:eastAsia="zh-CN"/>
        </w:rPr>
        <w:t>废</w:t>
      </w:r>
      <w:r>
        <w:rPr>
          <w:rFonts w:hint="eastAsia" w:ascii="仿宋_GB2312" w:hAnsi="仿宋_GB2312" w:eastAsia="仿宋_GB2312" w:cs="仿宋_GB2312"/>
          <w:color w:val="auto"/>
          <w:sz w:val="32"/>
          <w:szCs w:val="32"/>
          <w:highlight w:val="none"/>
          <w:u w:val="none"/>
        </w:rPr>
        <w:t>水执行《污水综合排放标准(GB8978-1996)表4中三级标准。</w:t>
      </w:r>
    </w:p>
    <w:p w14:paraId="737DE184">
      <w:pPr>
        <w:keepNext w:val="0"/>
        <w:keepLines w:val="0"/>
        <w:pageBreakBefore w:val="0"/>
        <w:widowControl/>
        <w:kinsoku/>
        <w:overflowPunct/>
        <w:topLinePunct w:val="0"/>
        <w:autoSpaceDE/>
        <w:autoSpaceDN/>
        <w:bidi w:val="0"/>
        <w:adjustRightInd/>
        <w:snapToGrid/>
        <w:spacing w:line="540" w:lineRule="exact"/>
        <w:ind w:right="0" w:rightChars="0" w:firstLine="643"/>
        <w:textAlignment w:val="auto"/>
        <w:rPr>
          <w:rFonts w:hint="default" w:ascii="仿宋_GB2312" w:hAnsi="仿宋_GB2312" w:eastAsia="仿宋_GB2312" w:cs="仿宋_GB2312"/>
          <w:strike w:val="0"/>
          <w:dstrike w:val="0"/>
          <w:color w:val="auto"/>
          <w:sz w:val="32"/>
          <w:szCs w:val="32"/>
          <w:lang w:eastAsia="zh-CN"/>
        </w:rPr>
      </w:pPr>
      <w:r>
        <w:rPr>
          <w:rFonts w:hint="eastAsia" w:cs="仿宋_GB2312"/>
          <w:b/>
          <w:bCs/>
          <w:color w:val="auto"/>
          <w:sz w:val="32"/>
          <w:szCs w:val="32"/>
          <w:lang w:val="en-US" w:eastAsia="zh-CN"/>
        </w:rPr>
        <w:t>4</w:t>
      </w:r>
      <w:r>
        <w:rPr>
          <w:rFonts w:hint="eastAsia" w:ascii="仿宋_GB2312" w:hAnsi="仿宋_GB2312" w:eastAsia="仿宋_GB2312" w:cs="仿宋_GB2312"/>
          <w:b/>
          <w:bCs/>
          <w:color w:val="auto"/>
          <w:sz w:val="32"/>
          <w:szCs w:val="32"/>
        </w:rPr>
        <w:t>.固废。</w:t>
      </w:r>
      <w:r>
        <w:rPr>
          <w:rFonts w:hint="eastAsia" w:cs="仿宋_GB2312"/>
          <w:color w:val="auto"/>
          <w:sz w:val="32"/>
          <w:szCs w:val="32"/>
          <w:lang w:eastAsia="zh-CN"/>
        </w:rPr>
        <w:t>一般固废</w:t>
      </w:r>
      <w:r>
        <w:rPr>
          <w:rFonts w:hint="eastAsia" w:ascii="仿宋_GB2312" w:hAnsi="仿宋_GB2312" w:eastAsia="仿宋_GB2312" w:cs="仿宋_GB2312"/>
          <w:color w:val="auto"/>
          <w:sz w:val="32"/>
          <w:szCs w:val="32"/>
        </w:rPr>
        <w:t>执行《一般工业固体废物贮存和填埋污染控制标准》（GB18599-2020）</w:t>
      </w:r>
      <w:r>
        <w:rPr>
          <w:rFonts w:hint="eastAsia" w:cs="仿宋_GB2312"/>
          <w:color w:val="auto"/>
          <w:sz w:val="32"/>
          <w:szCs w:val="32"/>
          <w:lang w:eastAsia="zh-CN"/>
        </w:rPr>
        <w:t>要求</w:t>
      </w:r>
      <w:r>
        <w:rPr>
          <w:rFonts w:hint="eastAsia" w:ascii="仿宋_GB2312" w:hAnsi="仿宋_GB2312" w:eastAsia="仿宋_GB2312" w:cs="仿宋_GB2312"/>
          <w:color w:val="auto"/>
          <w:sz w:val="32"/>
          <w:szCs w:val="32"/>
          <w:lang w:val="en-US" w:eastAsia="zh-CN"/>
        </w:rPr>
        <w:t>。</w:t>
      </w:r>
      <w:r>
        <w:rPr>
          <w:rFonts w:hint="default" w:ascii="仿宋_GB2312" w:hAnsi="仿宋_GB2312" w:eastAsia="仿宋_GB2312" w:cs="仿宋_GB2312"/>
          <w:strike w:val="0"/>
          <w:dstrike w:val="0"/>
          <w:color w:val="auto"/>
          <w:sz w:val="32"/>
          <w:szCs w:val="32"/>
          <w:highlight w:val="none"/>
          <w:lang w:val="en-US" w:eastAsia="zh-CN"/>
        </w:rPr>
        <w:t>危险废物贮存执行《危险废物贮存污染控制标准》（GB18597-2023</w:t>
      </w:r>
      <w:r>
        <w:rPr>
          <w:rFonts w:hint="default" w:ascii="仿宋_GB2312" w:hAnsi="仿宋_GB2312" w:eastAsia="仿宋_GB2312" w:cs="仿宋_GB2312"/>
          <w:strike w:val="0"/>
          <w:dstrike w:val="0"/>
          <w:color w:val="auto"/>
          <w:sz w:val="32"/>
          <w:szCs w:val="32"/>
          <w:highlight w:val="none"/>
          <w:lang w:eastAsia="zh-CN"/>
        </w:rPr>
        <w:t>）要求</w:t>
      </w:r>
      <w:r>
        <w:rPr>
          <w:rFonts w:hint="eastAsia" w:cs="仿宋_GB2312"/>
          <w:strike w:val="0"/>
          <w:dstrike w:val="0"/>
          <w:color w:val="auto"/>
          <w:sz w:val="32"/>
          <w:szCs w:val="32"/>
          <w:highlight w:val="none"/>
          <w:lang w:eastAsia="zh-CN"/>
        </w:rPr>
        <w:t>，</w:t>
      </w:r>
      <w:r>
        <w:rPr>
          <w:rFonts w:hint="eastAsia" w:ascii="仿宋_GB2312" w:hAnsi="仿宋_GB2312" w:eastAsia="仿宋_GB2312" w:cs="仿宋_GB2312"/>
          <w:color w:val="auto"/>
          <w:sz w:val="32"/>
          <w:szCs w:val="32"/>
          <w:u w:val="none"/>
          <w:lang w:eastAsia="zh-CN"/>
        </w:rPr>
        <w:t>转移执行《危险废物转移管理办法》（部令第</w:t>
      </w:r>
      <w:r>
        <w:rPr>
          <w:rFonts w:hint="eastAsia" w:ascii="仿宋_GB2312" w:hAnsi="仿宋_GB2312" w:eastAsia="仿宋_GB2312" w:cs="仿宋_GB2312"/>
          <w:color w:val="auto"/>
          <w:sz w:val="32"/>
          <w:szCs w:val="32"/>
          <w:u w:val="none"/>
          <w:lang w:val="en-US" w:eastAsia="zh-CN"/>
        </w:rPr>
        <w:t>23号</w:t>
      </w:r>
      <w:r>
        <w:rPr>
          <w:rFonts w:hint="eastAsia" w:ascii="仿宋_GB2312" w:hAnsi="仿宋_GB2312" w:eastAsia="仿宋_GB2312" w:cs="仿宋_GB2312"/>
          <w:color w:val="auto"/>
          <w:sz w:val="32"/>
          <w:szCs w:val="32"/>
          <w:u w:val="none"/>
          <w:lang w:eastAsia="zh-CN"/>
        </w:rPr>
        <w:t>）相关规定</w:t>
      </w:r>
      <w:r>
        <w:rPr>
          <w:rFonts w:hint="eastAsia" w:cs="仿宋_GB2312"/>
          <w:strike w:val="0"/>
          <w:dstrike w:val="0"/>
          <w:color w:val="auto"/>
          <w:sz w:val="32"/>
          <w:szCs w:val="32"/>
          <w:highlight w:val="none"/>
          <w:lang w:eastAsia="zh-CN"/>
        </w:rPr>
        <w:t>。</w:t>
      </w:r>
    </w:p>
    <w:p w14:paraId="7154B190">
      <w:pPr>
        <w:keepNext w:val="0"/>
        <w:keepLines w:val="0"/>
        <w:pageBreakBefore w:val="0"/>
        <w:widowControl w:val="0"/>
        <w:kinsoku/>
        <w:overflowPunct/>
        <w:topLinePunct w:val="0"/>
        <w:autoSpaceDE/>
        <w:autoSpaceDN/>
        <w:bidi w:val="0"/>
        <w:adjustRightInd/>
        <w:snapToGrid/>
        <w:spacing w:line="500" w:lineRule="exact"/>
        <w:ind w:right="0" w:rightChars="0"/>
        <w:textAlignment w:val="auto"/>
        <w:rPr>
          <w:rFonts w:hint="eastAsia"/>
          <w:lang w:val="en-US" w:eastAsia="zh-CN"/>
        </w:rPr>
      </w:pPr>
      <w:r>
        <w:rPr>
          <w:rFonts w:hint="eastAsia"/>
          <w:lang w:val="en-US" w:eastAsia="zh-CN"/>
        </w:rPr>
        <w:t>四、《报告书》批准后，</w:t>
      </w:r>
      <w:r>
        <w:rPr>
          <w:rFonts w:hint="eastAsia"/>
          <w:lang w:eastAsia="zh-CN"/>
        </w:rPr>
        <w:t>如建设项目的性质、规模、地点、采用的生产工艺或者防治污染、防止生态破坏的措施发生重大变动的，应当依法重新报批项目环评。《报告</w:t>
      </w:r>
      <w:r>
        <w:rPr>
          <w:rFonts w:hint="eastAsia"/>
          <w:lang w:val="en-US" w:eastAsia="zh-CN"/>
        </w:rPr>
        <w:t>书</w:t>
      </w:r>
      <w:r>
        <w:rPr>
          <w:rFonts w:hint="eastAsia"/>
          <w:lang w:eastAsia="zh-CN"/>
        </w:rPr>
        <w:t>》自批准之日起满5年，方开工建设的，项目环评应当依法报我局重新审核。</w:t>
      </w:r>
    </w:p>
    <w:p w14:paraId="36291E2A">
      <w:pPr>
        <w:keepNext w:val="0"/>
        <w:keepLines w:val="0"/>
        <w:pageBreakBefore w:val="0"/>
        <w:widowControl w:val="0"/>
        <w:kinsoku/>
        <w:overflowPunct/>
        <w:topLinePunct w:val="0"/>
        <w:autoSpaceDE/>
        <w:autoSpaceDN/>
        <w:bidi w:val="0"/>
        <w:adjustRightInd/>
        <w:snapToGrid/>
        <w:spacing w:line="500" w:lineRule="exact"/>
        <w:ind w:right="0" w:rightChars="0"/>
        <w:textAlignment w:val="auto"/>
        <w:rPr>
          <w:rFonts w:hint="eastAsia"/>
          <w:lang w:val="en-US" w:eastAsia="zh-CN"/>
        </w:rPr>
      </w:pPr>
      <w:r>
        <w:rPr>
          <w:rFonts w:hint="eastAsia"/>
          <w:lang w:val="en-US" w:eastAsia="zh-CN"/>
        </w:rPr>
        <w:t>五、</w:t>
      </w:r>
      <w:r>
        <w:rPr>
          <w:rFonts w:hint="eastAsia"/>
          <w:lang w:eastAsia="zh-CN"/>
        </w:rPr>
        <w:t>项目应加强环境管理，推进落实各项生态环境保护措施。</w:t>
      </w:r>
      <w:r>
        <w:rPr>
          <w:rFonts w:hint="eastAsia"/>
        </w:rPr>
        <w:t>严格执行</w:t>
      </w:r>
      <w:r>
        <w:rPr>
          <w:rFonts w:hint="eastAsia"/>
          <w:lang w:eastAsia="zh-CN"/>
        </w:rPr>
        <w:t>环境保护</w:t>
      </w:r>
      <w:r>
        <w:rPr>
          <w:rFonts w:hint="eastAsia"/>
        </w:rPr>
        <w:t>“三同时”制度</w:t>
      </w:r>
      <w:r>
        <w:rPr>
          <w:rFonts w:hint="eastAsia"/>
          <w:lang w:eastAsia="zh-CN"/>
        </w:rPr>
        <w:t>，加强施工期环境管理。</w:t>
      </w:r>
      <w:r>
        <w:rPr>
          <w:rFonts w:hint="eastAsia"/>
        </w:rPr>
        <w:t>竣工</w:t>
      </w:r>
      <w:r>
        <w:rPr>
          <w:rFonts w:hint="eastAsia"/>
          <w:lang w:eastAsia="zh-CN"/>
        </w:rPr>
        <w:t>后应按规定程序实施</w:t>
      </w:r>
      <w:r>
        <w:rPr>
          <w:rFonts w:hint="eastAsia"/>
        </w:rPr>
        <w:t>竣工环境保护验收。</w:t>
      </w:r>
    </w:p>
    <w:p w14:paraId="5BAC247B">
      <w:pPr>
        <w:keepNext w:val="0"/>
        <w:keepLines w:val="0"/>
        <w:pageBreakBefore w:val="0"/>
        <w:widowControl w:val="0"/>
        <w:kinsoku/>
        <w:overflowPunct/>
        <w:topLinePunct w:val="0"/>
        <w:autoSpaceDE/>
        <w:autoSpaceDN/>
        <w:bidi w:val="0"/>
        <w:adjustRightInd/>
        <w:snapToGrid/>
        <w:spacing w:line="500" w:lineRule="exact"/>
        <w:ind w:right="0" w:rightChars="0"/>
        <w:textAlignment w:val="auto"/>
        <w:rPr>
          <w:rFonts w:hint="eastAsia"/>
          <w:highlight w:val="none"/>
        </w:rPr>
      </w:pPr>
      <w:r>
        <w:rPr>
          <w:rFonts w:hint="eastAsia"/>
          <w:lang w:val="en-US" w:eastAsia="zh-CN"/>
        </w:rPr>
        <w:t>六、我局委托福州市生态环境保护综合执法支队开展该项目环保“三同时”监督检查，竣工后，由</w:t>
      </w:r>
      <w:r>
        <w:rPr>
          <w:rFonts w:hint="eastAsia"/>
          <w:highlight w:val="none"/>
          <w:lang w:val="en-US" w:eastAsia="zh-CN"/>
        </w:rPr>
        <w:t>福州市连江生态环境局</w:t>
      </w:r>
      <w:r>
        <w:rPr>
          <w:rFonts w:hint="eastAsia"/>
          <w:lang w:val="en-US" w:eastAsia="zh-CN"/>
        </w:rPr>
        <w:t>负责该项目日常环保监督管理工作。</w:t>
      </w:r>
    </w:p>
    <w:p w14:paraId="7B12BB04">
      <w:pPr>
        <w:keepNext w:val="0"/>
        <w:keepLines w:val="0"/>
        <w:pageBreakBefore w:val="0"/>
        <w:widowControl w:val="0"/>
        <w:tabs>
          <w:tab w:val="left" w:pos="3885"/>
        </w:tabs>
        <w:kinsoku/>
        <w:wordWrap/>
        <w:overflowPunct/>
        <w:topLinePunct w:val="0"/>
        <w:autoSpaceDE/>
        <w:autoSpaceDN/>
        <w:bidi w:val="0"/>
        <w:adjustRightInd/>
        <w:snapToGrid/>
        <w:spacing w:line="500" w:lineRule="exact"/>
        <w:ind w:left="0" w:leftChars="0" w:right="0" w:rightChars="0" w:firstLine="640" w:firstLineChars="200"/>
        <w:jc w:val="both"/>
        <w:textAlignment w:val="auto"/>
        <w:rPr>
          <w:rFonts w:hint="default" w:eastAsia="仿宋_GB2312"/>
          <w:highlight w:val="none"/>
          <w:lang w:val="en-US" w:eastAsia="zh-CN"/>
        </w:rPr>
      </w:pPr>
    </w:p>
    <w:p w14:paraId="38A42028">
      <w:pPr>
        <w:keepNext w:val="0"/>
        <w:keepLines w:val="0"/>
        <w:pageBreakBefore w:val="0"/>
        <w:widowControl w:val="0"/>
        <w:kinsoku/>
        <w:wordWrap w:val="0"/>
        <w:overflowPunct/>
        <w:topLinePunct w:val="0"/>
        <w:autoSpaceDE/>
        <w:autoSpaceDN/>
        <w:bidi w:val="0"/>
        <w:adjustRightInd/>
        <w:snapToGrid/>
        <w:spacing w:line="500" w:lineRule="exact"/>
        <w:ind w:right="0" w:rightChars="0"/>
        <w:jc w:val="right"/>
        <w:textAlignment w:val="auto"/>
        <w:rPr>
          <w:rFonts w:hint="eastAsia"/>
          <w:highlight w:val="none"/>
          <w:lang w:val="en-US" w:eastAsia="zh-CN"/>
        </w:rPr>
      </w:pPr>
      <w:r>
        <w:rPr>
          <w:rFonts w:hint="eastAsia"/>
          <w:highlight w:val="none"/>
        </w:rPr>
        <w:t>福州市</w:t>
      </w:r>
      <w:r>
        <w:rPr>
          <w:rFonts w:hint="eastAsia"/>
          <w:highlight w:val="none"/>
          <w:lang w:eastAsia="zh-CN"/>
        </w:rPr>
        <w:t>生态环境局</w:t>
      </w:r>
      <w:r>
        <w:rPr>
          <w:rFonts w:hint="eastAsia"/>
          <w:highlight w:val="none"/>
          <w:lang w:val="en-US" w:eastAsia="zh-CN"/>
        </w:rPr>
        <w:t xml:space="preserve">        </w:t>
      </w:r>
    </w:p>
    <w:p w14:paraId="085E8767">
      <w:pPr>
        <w:keepNext w:val="0"/>
        <w:keepLines w:val="0"/>
        <w:pageBreakBefore w:val="0"/>
        <w:widowControl w:val="0"/>
        <w:kinsoku/>
        <w:wordWrap w:val="0"/>
        <w:overflowPunct/>
        <w:topLinePunct w:val="0"/>
        <w:autoSpaceDE/>
        <w:autoSpaceDN/>
        <w:bidi w:val="0"/>
        <w:adjustRightInd/>
        <w:snapToGrid/>
        <w:spacing w:line="500" w:lineRule="exact"/>
        <w:ind w:right="0" w:rightChars="0"/>
        <w:jc w:val="right"/>
        <w:textAlignment w:val="auto"/>
        <w:rPr>
          <w:rFonts w:hint="eastAsia"/>
          <w:highlight w:val="none"/>
          <w:lang w:val="en-US" w:eastAsia="zh-CN"/>
        </w:rPr>
      </w:pPr>
      <w:r>
        <w:rPr>
          <w:rFonts w:hint="eastAsia"/>
          <w:highlight w:val="none"/>
        </w:rPr>
        <w:t>20</w:t>
      </w:r>
      <w:r>
        <w:rPr>
          <w:rFonts w:hint="eastAsia"/>
          <w:highlight w:val="none"/>
          <w:lang w:val="en-US" w:eastAsia="zh-CN"/>
        </w:rPr>
        <w:t>26</w:t>
      </w:r>
      <w:r>
        <w:rPr>
          <w:rFonts w:hint="eastAsia"/>
          <w:highlight w:val="none"/>
        </w:rPr>
        <w:t>年</w:t>
      </w:r>
      <w:r>
        <w:rPr>
          <w:rFonts w:hint="eastAsia"/>
          <w:highlight w:val="none"/>
          <w:lang w:val="en-US" w:eastAsia="zh-CN"/>
        </w:rPr>
        <w:t>10</w:t>
      </w:r>
      <w:r>
        <w:rPr>
          <w:rFonts w:hint="eastAsia"/>
          <w:highlight w:val="none"/>
        </w:rPr>
        <w:t>月</w:t>
      </w:r>
      <w:r>
        <w:rPr>
          <w:rFonts w:hint="eastAsia"/>
          <w:highlight w:val="none"/>
          <w:lang w:val="en-US" w:eastAsia="zh-CN"/>
        </w:rPr>
        <w:t>16</w:t>
      </w:r>
      <w:r>
        <w:rPr>
          <w:rFonts w:hint="eastAsia"/>
          <w:highlight w:val="none"/>
        </w:rPr>
        <w:t>日</w:t>
      </w:r>
      <w:r>
        <w:rPr>
          <w:rFonts w:hint="eastAsia"/>
          <w:highlight w:val="none"/>
          <w:lang w:val="en-US" w:eastAsia="zh-CN"/>
        </w:rPr>
        <w:t xml:space="preserve">        </w:t>
      </w:r>
    </w:p>
    <w:tbl>
      <w:tblPr>
        <w:tblStyle w:val="21"/>
        <w:tblpPr w:horzAnchor="margin" w:tblpX="1" w:tblpYSpec="bottom"/>
        <w:tblOverlap w:val="never"/>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1316"/>
        <w:gridCol w:w="3274"/>
        <w:gridCol w:w="4589"/>
      </w:tblGrid>
      <w:tr w14:paraId="23F38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37" w:hRule="atLeast"/>
        </w:trPr>
        <w:tc>
          <w:tcPr>
            <w:tcW w:w="717" w:type="pct"/>
            <w:tcBorders>
              <w:left w:val="nil"/>
              <w:right w:val="nil"/>
            </w:tcBorders>
            <w:noWrap w:val="0"/>
            <w:vAlign w:val="top"/>
          </w:tcPr>
          <w:p w14:paraId="58661F79">
            <w:pPr>
              <w:pStyle w:val="28"/>
              <w:keepNext w:val="0"/>
              <w:keepLines w:val="0"/>
              <w:pageBreakBefore w:val="0"/>
              <w:widowControl w:val="0"/>
              <w:kinsoku/>
              <w:overflowPunct/>
              <w:topLinePunct w:val="0"/>
              <w:autoSpaceDE/>
              <w:autoSpaceDN/>
              <w:bidi w:val="0"/>
              <w:adjustRightInd/>
              <w:snapToGrid/>
              <w:spacing w:line="560" w:lineRule="atLeast"/>
              <w:ind w:firstLine="280" w:firstLineChars="100"/>
              <w:jc w:val="left"/>
              <w:textAlignment w:val="auto"/>
              <w:rPr>
                <w:rFonts w:hint="eastAsia"/>
                <w:sz w:val="28"/>
                <w:szCs w:val="28"/>
                <w:highlight w:val="none"/>
                <w:lang w:val="en-US" w:eastAsia="zh-CN"/>
              </w:rPr>
            </w:pPr>
            <w:r>
              <w:rPr>
                <w:rFonts w:hint="eastAsia"/>
                <w:sz w:val="28"/>
                <w:szCs w:val="28"/>
                <w:highlight w:val="none"/>
              </w:rPr>
              <w:t>抄送：</w:t>
            </w:r>
          </w:p>
        </w:tc>
        <w:tc>
          <w:tcPr>
            <w:tcW w:w="4282" w:type="pct"/>
            <w:gridSpan w:val="2"/>
            <w:tcBorders>
              <w:left w:val="nil"/>
              <w:right w:val="nil"/>
            </w:tcBorders>
            <w:noWrap w:val="0"/>
            <w:vAlign w:val="top"/>
          </w:tcPr>
          <w:p w14:paraId="05A16374">
            <w:pPr>
              <w:pStyle w:val="28"/>
              <w:keepNext w:val="0"/>
              <w:keepLines w:val="0"/>
              <w:pageBreakBefore w:val="0"/>
              <w:widowControl w:val="0"/>
              <w:kinsoku/>
              <w:overflowPunct/>
              <w:topLinePunct w:val="0"/>
              <w:autoSpaceDE/>
              <w:autoSpaceDN/>
              <w:bidi w:val="0"/>
              <w:adjustRightInd/>
              <w:snapToGrid/>
              <w:spacing w:line="560" w:lineRule="atLeast"/>
              <w:textAlignment w:val="auto"/>
              <w:rPr>
                <w:rFonts w:hint="eastAsia"/>
                <w:sz w:val="28"/>
                <w:szCs w:val="28"/>
                <w:highlight w:val="none"/>
                <w:lang w:val="en-US" w:eastAsia="zh-CN"/>
              </w:rPr>
            </w:pPr>
            <w:r>
              <w:rPr>
                <w:rFonts w:hint="eastAsia"/>
                <w:sz w:val="28"/>
                <w:szCs w:val="28"/>
                <w:highlight w:val="none"/>
                <w:lang w:eastAsia="zh-CN"/>
              </w:rPr>
              <w:t>局海洋处，局大气处，</w:t>
            </w:r>
            <w:r>
              <w:rPr>
                <w:rFonts w:hint="eastAsia"/>
                <w:sz w:val="28"/>
                <w:szCs w:val="28"/>
                <w:highlight w:val="none"/>
              </w:rPr>
              <w:t>福州市生态环境保护综合执法支队，福州市环境影响评价技术中心，福州市</w:t>
            </w:r>
            <w:r>
              <w:rPr>
                <w:rFonts w:hint="eastAsia"/>
                <w:sz w:val="28"/>
                <w:szCs w:val="28"/>
                <w:highlight w:val="none"/>
                <w:lang w:eastAsia="zh-CN"/>
              </w:rPr>
              <w:t>连江</w:t>
            </w:r>
            <w:r>
              <w:rPr>
                <w:rFonts w:hint="eastAsia"/>
                <w:sz w:val="28"/>
                <w:szCs w:val="28"/>
                <w:highlight w:val="none"/>
              </w:rPr>
              <w:t>生态环境局</w:t>
            </w:r>
            <w:r>
              <w:rPr>
                <w:rFonts w:hint="eastAsia"/>
                <w:sz w:val="28"/>
                <w:szCs w:val="28"/>
                <w:highlight w:val="none"/>
                <w:lang w:eastAsia="zh-CN"/>
              </w:rPr>
              <w:t>，</w:t>
            </w:r>
            <w:r>
              <w:rPr>
                <w:rFonts w:hint="eastAsia"/>
                <w:sz w:val="28"/>
                <w:szCs w:val="28"/>
                <w:highlight w:val="none"/>
                <w:lang w:val="en-US" w:eastAsia="zh-CN"/>
              </w:rPr>
              <w:t>守正（厦门）工程科技有限公司</w:t>
            </w:r>
            <w:r>
              <w:rPr>
                <w:rFonts w:hint="eastAsia"/>
                <w:sz w:val="28"/>
                <w:szCs w:val="28"/>
                <w:highlight w:val="none"/>
                <w:lang w:eastAsia="zh-CN"/>
              </w:rPr>
              <w:t>。</w:t>
            </w:r>
          </w:p>
        </w:tc>
      </w:tr>
      <w:tr w14:paraId="731CB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2500" w:type="pct"/>
            <w:gridSpan w:val="2"/>
            <w:tcBorders>
              <w:left w:val="nil"/>
              <w:right w:val="nil"/>
            </w:tcBorders>
            <w:noWrap w:val="0"/>
            <w:vAlign w:val="top"/>
          </w:tcPr>
          <w:p w14:paraId="79EC4DC6">
            <w:pPr>
              <w:pStyle w:val="28"/>
              <w:keepNext w:val="0"/>
              <w:keepLines w:val="0"/>
              <w:pageBreakBefore w:val="0"/>
              <w:widowControl w:val="0"/>
              <w:kinsoku/>
              <w:overflowPunct/>
              <w:topLinePunct w:val="0"/>
              <w:autoSpaceDE/>
              <w:autoSpaceDN/>
              <w:bidi w:val="0"/>
              <w:adjustRightInd/>
              <w:snapToGrid/>
              <w:spacing w:line="560" w:lineRule="atLeast"/>
              <w:ind w:firstLine="280" w:firstLineChars="100"/>
              <w:textAlignment w:val="auto"/>
              <w:rPr>
                <w:rFonts w:hint="eastAsia"/>
                <w:sz w:val="28"/>
                <w:szCs w:val="28"/>
                <w:highlight w:val="none"/>
                <w:lang w:val="en-US" w:eastAsia="zh-CN"/>
              </w:rPr>
            </w:pPr>
            <w:r>
              <w:rPr>
                <w:rFonts w:hint="eastAsia"/>
                <w:sz w:val="28"/>
                <w:szCs w:val="28"/>
                <w:highlight w:val="none"/>
              </w:rPr>
              <w:t>福州市</w:t>
            </w:r>
            <w:r>
              <w:rPr>
                <w:rFonts w:hint="eastAsia"/>
                <w:sz w:val="28"/>
                <w:szCs w:val="28"/>
                <w:highlight w:val="none"/>
                <w:lang w:eastAsia="zh-CN"/>
              </w:rPr>
              <w:t>生态环境</w:t>
            </w:r>
            <w:r>
              <w:rPr>
                <w:rFonts w:hint="eastAsia"/>
                <w:sz w:val="28"/>
                <w:szCs w:val="28"/>
                <w:highlight w:val="none"/>
              </w:rPr>
              <w:t>局</w:t>
            </w:r>
          </w:p>
        </w:tc>
        <w:tc>
          <w:tcPr>
            <w:tcW w:w="2499" w:type="pct"/>
            <w:tcBorders>
              <w:left w:val="nil"/>
              <w:right w:val="nil"/>
            </w:tcBorders>
            <w:noWrap w:val="0"/>
            <w:vAlign w:val="top"/>
          </w:tcPr>
          <w:p w14:paraId="3D2BF521">
            <w:pPr>
              <w:pStyle w:val="28"/>
              <w:keepNext w:val="0"/>
              <w:keepLines w:val="0"/>
              <w:pageBreakBefore w:val="0"/>
              <w:widowControl w:val="0"/>
              <w:kinsoku/>
              <w:overflowPunct/>
              <w:topLinePunct w:val="0"/>
              <w:autoSpaceDE/>
              <w:autoSpaceDN/>
              <w:bidi w:val="0"/>
              <w:adjustRightInd/>
              <w:snapToGrid/>
              <w:spacing w:line="560" w:lineRule="atLeast"/>
              <w:jc w:val="right"/>
              <w:textAlignment w:val="auto"/>
              <w:rPr>
                <w:rFonts w:hint="eastAsia" w:eastAsia="仿宋_GB2312"/>
                <w:sz w:val="28"/>
                <w:szCs w:val="28"/>
                <w:highlight w:val="none"/>
                <w:lang w:val="en-US" w:eastAsia="zh-CN"/>
              </w:rPr>
            </w:pPr>
            <w:r>
              <w:rPr>
                <w:rFonts w:hint="eastAsia"/>
                <w:sz w:val="28"/>
                <w:szCs w:val="28"/>
                <w:highlight w:val="none"/>
              </w:rPr>
              <w:t>202</w:t>
            </w:r>
            <w:r>
              <w:rPr>
                <w:rFonts w:hint="eastAsia"/>
                <w:sz w:val="28"/>
                <w:szCs w:val="28"/>
                <w:highlight w:val="none"/>
                <w:lang w:val="en-US" w:eastAsia="zh-CN"/>
              </w:rPr>
              <w:t>6</w:t>
            </w:r>
            <w:r>
              <w:rPr>
                <w:rFonts w:hint="eastAsia"/>
                <w:sz w:val="28"/>
                <w:szCs w:val="28"/>
                <w:highlight w:val="none"/>
              </w:rPr>
              <w:t>年</w:t>
            </w:r>
            <w:r>
              <w:rPr>
                <w:rFonts w:hint="eastAsia"/>
                <w:sz w:val="28"/>
                <w:szCs w:val="28"/>
                <w:highlight w:val="none"/>
                <w:lang w:val="en-US" w:eastAsia="zh-CN"/>
              </w:rPr>
              <w:t>10</w:t>
            </w:r>
            <w:r>
              <w:rPr>
                <w:rFonts w:hint="eastAsia"/>
                <w:sz w:val="28"/>
                <w:szCs w:val="28"/>
                <w:highlight w:val="none"/>
              </w:rPr>
              <w:t>月</w:t>
            </w:r>
            <w:r>
              <w:rPr>
                <w:rFonts w:hint="eastAsia"/>
                <w:sz w:val="28"/>
                <w:szCs w:val="28"/>
                <w:highlight w:val="none"/>
                <w:lang w:val="en-US" w:eastAsia="zh-CN"/>
              </w:rPr>
              <w:t>16</w:t>
            </w:r>
            <w:bookmarkStart w:id="0" w:name="_GoBack"/>
            <w:bookmarkEnd w:id="0"/>
            <w:r>
              <w:rPr>
                <w:rFonts w:hint="eastAsia"/>
                <w:sz w:val="28"/>
                <w:szCs w:val="28"/>
                <w:highlight w:val="none"/>
              </w:rPr>
              <w:t>日印发</w:t>
            </w:r>
            <w:r>
              <w:rPr>
                <w:rFonts w:hint="eastAsia"/>
                <w:sz w:val="28"/>
                <w:szCs w:val="28"/>
                <w:highlight w:val="none"/>
                <w:lang w:val="en-US" w:eastAsia="zh-CN"/>
              </w:rPr>
              <w:t xml:space="preserve">  </w:t>
            </w:r>
          </w:p>
        </w:tc>
      </w:tr>
    </w:tbl>
    <w:p w14:paraId="68925BFA">
      <w:pPr>
        <w:keepNext w:val="0"/>
        <w:keepLines w:val="0"/>
        <w:pageBreakBefore w:val="0"/>
        <w:widowControl w:val="0"/>
        <w:numPr>
          <w:ilvl w:val="-1"/>
          <w:numId w:val="0"/>
        </w:numPr>
        <w:kinsoku/>
        <w:wordWrap/>
        <w:overflowPunct/>
        <w:topLinePunct w:val="0"/>
        <w:autoSpaceDE/>
        <w:autoSpaceDN/>
        <w:bidi w:val="0"/>
        <w:adjustRightInd/>
        <w:snapToGrid w:val="0"/>
        <w:spacing w:line="520" w:lineRule="atLeast"/>
        <w:ind w:right="0" w:rightChars="0" w:firstLine="0" w:firstLineChars="0"/>
        <w:jc w:val="both"/>
        <w:textAlignment w:val="auto"/>
        <w:rPr>
          <w:rFonts w:hint="default"/>
          <w:color w:val="000000"/>
          <w:sz w:val="28"/>
          <w:szCs w:val="28"/>
          <w:highlight w:val="none"/>
          <w:u w:val="none"/>
          <w:lang w:val="en-US" w:eastAsia="zh-CN"/>
        </w:rPr>
      </w:pPr>
    </w:p>
    <w:sectPr>
      <w:footerReference r:id="rId5" w:type="default"/>
      <w:footerReference r:id="rId6" w:type="even"/>
      <w:pgSz w:w="11906" w:h="16838"/>
      <w:pgMar w:top="1417" w:right="1417" w:bottom="1417" w:left="1417" w:header="851" w:footer="850" w:gutter="0"/>
      <w:pgNumType w:fmt="decimal"/>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A00002EF" w:usb1="4000207B" w:usb2="00000000" w:usb3="00000000" w:csb0="2000019F" w:csb1="00000000"/>
  </w:font>
  <w:font w:name="Verdana">
    <w:panose1 w:val="020B0604030504040204"/>
    <w:charset w:val="00"/>
    <w:family w:val="swiss"/>
    <w:pitch w:val="default"/>
    <w:sig w:usb0="A10006FF" w:usb1="4000205B" w:usb2="00000010" w:usb3="00000000" w:csb0="2000019F" w:csb1="00000000"/>
  </w:font>
  <w:font w:name="方正小标宋_GBK">
    <w:panose1 w:val="02000000000000000000"/>
    <w:charset w:val="86"/>
    <w:family w:val="auto"/>
    <w:pitch w:val="default"/>
    <w:sig w:usb0="A00002BF" w:usb1="38CF7CFA" w:usb2="00082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D034F">
    <w:pPr>
      <w:tabs>
        <w:tab w:val="center" w:pos="4153"/>
        <w:tab w:val="right" w:pos="8306"/>
      </w:tabs>
    </w:pPr>
    <w:r>
      <w:rPr>
        <w:sz w:val="3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3E9A00">
                          <w:pPr>
                            <w:pStyle w:val="1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83E9A00">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76332">
    <w:pPr>
      <w:framePr w:wrap="around" w:vAnchor="text" w:hAnchor="margin" w:xAlign="center" w:y="1"/>
      <w:tabs>
        <w:tab w:val="center" w:pos="4153"/>
        <w:tab w:val="right" w:pos="8306"/>
      </w:tabs>
    </w:pPr>
    <w:r>
      <w:fldChar w:fldCharType="begin"/>
    </w:r>
    <w:r>
      <w:instrText xml:space="preserve">PAGE  </w:instrText>
    </w:r>
    <w:r>
      <w:fldChar w:fldCharType="end"/>
    </w:r>
  </w:p>
  <w:p w14:paraId="15914E8D">
    <w:pPr>
      <w:tabs>
        <w:tab w:val="center" w:pos="4153"/>
        <w:tab w:val="right" w:pos="8306"/>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084F08"/>
    <w:multiLevelType w:val="singleLevel"/>
    <w:tmpl w:val="FB084F08"/>
    <w:lvl w:ilvl="0" w:tentative="0">
      <w:start w:val="1"/>
      <w:numFmt w:val="chineseCounting"/>
      <w:suff w:val="nothing"/>
      <w:lvlText w:val="%1、"/>
      <w:lvlJc w:val="left"/>
      <w:rPr>
        <w:rFonts w:hint="eastAsia"/>
      </w:rPr>
    </w:lvl>
  </w:abstractNum>
  <w:abstractNum w:abstractNumId="1">
    <w:nsid w:val="41132AC9"/>
    <w:multiLevelType w:val="multilevel"/>
    <w:tmpl w:val="41132AC9"/>
    <w:lvl w:ilvl="0" w:tentative="0">
      <w:start w:val="1"/>
      <w:numFmt w:val="decimal"/>
      <w:suff w:val="space"/>
      <w:lvlText w:val="%1"/>
      <w:lvlJc w:val="left"/>
      <w:pPr>
        <w:ind w:left="0" w:firstLine="0"/>
      </w:pPr>
      <w:rPr>
        <w:rFonts w:hint="eastAsia"/>
      </w:rPr>
    </w:lvl>
    <w:lvl w:ilvl="1" w:tentative="0">
      <w:start w:val="1"/>
      <w:numFmt w:val="decimal"/>
      <w:suff w:val="space"/>
      <w:lvlText w:val="%1.%2"/>
      <w:lvlJc w:val="left"/>
      <w:pPr>
        <w:ind w:left="0" w:firstLine="0"/>
      </w:pPr>
      <w:rPr>
        <w:rFonts w:hint="eastAsia"/>
        <w:b/>
      </w:rPr>
    </w:lvl>
    <w:lvl w:ilvl="2" w:tentative="0">
      <w:start w:val="1"/>
      <w:numFmt w:val="decimal"/>
      <w:suff w:val="space"/>
      <w:lvlText w:val="%1.%2.%3"/>
      <w:lvlJc w:val="left"/>
      <w:pPr>
        <w:ind w:left="0" w:firstLine="0"/>
      </w:pPr>
      <w:rPr>
        <w:rFonts w:hint="eastAsia"/>
        <w:b/>
        <w:bCs w:val="0"/>
        <w:i w:val="0"/>
        <w:iCs w:val="0"/>
        <w:caps w:val="0"/>
        <w:smallCaps w:val="0"/>
        <w:strike w:val="0"/>
        <w:dstrike w:val="0"/>
        <w:color w:val="000000"/>
        <w:spacing w:val="0"/>
        <w:position w:val="0"/>
        <w:u w:val="none"/>
      </w:rPr>
    </w:lvl>
    <w:lvl w:ilvl="3" w:tentative="0">
      <w:start w:val="1"/>
      <w:numFmt w:val="decimal"/>
      <w:pStyle w:val="8"/>
      <w:suff w:val="space"/>
      <w:lvlText w:val="%1.%2.%3.%4"/>
      <w:lvlJc w:val="left"/>
      <w:pPr>
        <w:ind w:left="0" w:firstLine="0"/>
      </w:pPr>
      <w:rPr>
        <w:rFonts w:hint="eastAsia" w:ascii="Times New Roman" w:hAnsi="Times New Roman" w:cs="Times New Roman"/>
        <w:b/>
        <w:bCs w:val="0"/>
        <w:i w:val="0"/>
        <w:iCs w:val="0"/>
        <w:caps w:val="0"/>
        <w:smallCaps w:val="0"/>
        <w:strike w:val="0"/>
        <w:dstrike w:val="0"/>
        <w:color w:val="000000"/>
        <w:spacing w:val="0"/>
        <w:position w:val="0"/>
        <w:u w:val="none"/>
      </w:rPr>
    </w:lvl>
    <w:lvl w:ilvl="4" w:tentative="0">
      <w:start w:val="1"/>
      <w:numFmt w:val="decimal"/>
      <w:lvlText w:val="%1.%2.%3.%4.%5"/>
      <w:lvlJc w:val="left"/>
      <w:pPr>
        <w:tabs>
          <w:tab w:val="left" w:pos="720"/>
        </w:tabs>
        <w:ind w:left="720" w:firstLine="0"/>
      </w:pPr>
      <w:rPr>
        <w:rFonts w:hint="eastAsia" w:ascii="Times New Roman" w:hAnsi="Times New Roman" w:cs="Times New Roman"/>
        <w:b w:val="0"/>
        <w:bCs w:val="0"/>
        <w:i w:val="0"/>
        <w:iCs w:val="0"/>
        <w:caps w:val="0"/>
        <w:smallCaps w:val="0"/>
        <w:strike w:val="0"/>
        <w:dstrike w:val="0"/>
        <w:color w:val="000000"/>
        <w:spacing w:val="0"/>
        <w:position w:val="0"/>
        <w:u w:val="none"/>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xNDM5NTI3YTI2MzU0NTA3MzliODM2N2FlYTc2NjYifQ=="/>
  </w:docVars>
  <w:rsids>
    <w:rsidRoot w:val="00172A27"/>
    <w:rsid w:val="00285502"/>
    <w:rsid w:val="002D2788"/>
    <w:rsid w:val="00733C95"/>
    <w:rsid w:val="00DC19CB"/>
    <w:rsid w:val="012415C2"/>
    <w:rsid w:val="01423F24"/>
    <w:rsid w:val="017B4BBD"/>
    <w:rsid w:val="01A7022B"/>
    <w:rsid w:val="01D1680C"/>
    <w:rsid w:val="01D55B47"/>
    <w:rsid w:val="01EE5E5A"/>
    <w:rsid w:val="01F6165D"/>
    <w:rsid w:val="02034E19"/>
    <w:rsid w:val="02054F49"/>
    <w:rsid w:val="02087A20"/>
    <w:rsid w:val="021C6C6C"/>
    <w:rsid w:val="02681D8C"/>
    <w:rsid w:val="027C1937"/>
    <w:rsid w:val="02A91D81"/>
    <w:rsid w:val="02F373A7"/>
    <w:rsid w:val="03435E7F"/>
    <w:rsid w:val="03995481"/>
    <w:rsid w:val="03AD58A1"/>
    <w:rsid w:val="03CB7B24"/>
    <w:rsid w:val="043A5387"/>
    <w:rsid w:val="044C024B"/>
    <w:rsid w:val="044E3BDF"/>
    <w:rsid w:val="046E4052"/>
    <w:rsid w:val="04D706D5"/>
    <w:rsid w:val="04E87704"/>
    <w:rsid w:val="051316C9"/>
    <w:rsid w:val="05360CF3"/>
    <w:rsid w:val="05614C7A"/>
    <w:rsid w:val="059B31F8"/>
    <w:rsid w:val="05A9624A"/>
    <w:rsid w:val="05EA0EE8"/>
    <w:rsid w:val="05EC03F0"/>
    <w:rsid w:val="06911288"/>
    <w:rsid w:val="06F42B68"/>
    <w:rsid w:val="07627F61"/>
    <w:rsid w:val="07857BC5"/>
    <w:rsid w:val="07872AC0"/>
    <w:rsid w:val="07921E93"/>
    <w:rsid w:val="07A01A45"/>
    <w:rsid w:val="07E643A6"/>
    <w:rsid w:val="08067F20"/>
    <w:rsid w:val="08592B0D"/>
    <w:rsid w:val="08991F59"/>
    <w:rsid w:val="08D31906"/>
    <w:rsid w:val="08F70236"/>
    <w:rsid w:val="09017F7A"/>
    <w:rsid w:val="09290201"/>
    <w:rsid w:val="09682A4F"/>
    <w:rsid w:val="096F7A09"/>
    <w:rsid w:val="097525E3"/>
    <w:rsid w:val="09AE6015"/>
    <w:rsid w:val="09CD427B"/>
    <w:rsid w:val="09F31D9F"/>
    <w:rsid w:val="0A144C68"/>
    <w:rsid w:val="0A1F7296"/>
    <w:rsid w:val="0A374430"/>
    <w:rsid w:val="0A3C63D0"/>
    <w:rsid w:val="0A4F7B1C"/>
    <w:rsid w:val="0BD02354"/>
    <w:rsid w:val="0C312BFA"/>
    <w:rsid w:val="0C8073F8"/>
    <w:rsid w:val="0CA35B13"/>
    <w:rsid w:val="0D750F31"/>
    <w:rsid w:val="0DD45D4E"/>
    <w:rsid w:val="0E140D02"/>
    <w:rsid w:val="0E3A1F14"/>
    <w:rsid w:val="0E865C80"/>
    <w:rsid w:val="0EB47119"/>
    <w:rsid w:val="0EEC178F"/>
    <w:rsid w:val="0F0C76AB"/>
    <w:rsid w:val="0F7D61F5"/>
    <w:rsid w:val="0FC07E01"/>
    <w:rsid w:val="10262D87"/>
    <w:rsid w:val="105F163E"/>
    <w:rsid w:val="10960840"/>
    <w:rsid w:val="10C15A17"/>
    <w:rsid w:val="117A5379"/>
    <w:rsid w:val="117F79FE"/>
    <w:rsid w:val="11BC3C0E"/>
    <w:rsid w:val="11EE50AB"/>
    <w:rsid w:val="12100067"/>
    <w:rsid w:val="12321614"/>
    <w:rsid w:val="12F82368"/>
    <w:rsid w:val="13095FB3"/>
    <w:rsid w:val="132F0080"/>
    <w:rsid w:val="13433851"/>
    <w:rsid w:val="136E2957"/>
    <w:rsid w:val="139042E6"/>
    <w:rsid w:val="1393060F"/>
    <w:rsid w:val="13CF3A9D"/>
    <w:rsid w:val="14115C0D"/>
    <w:rsid w:val="141C6857"/>
    <w:rsid w:val="14470016"/>
    <w:rsid w:val="14647F10"/>
    <w:rsid w:val="149C2744"/>
    <w:rsid w:val="14A95C11"/>
    <w:rsid w:val="14C40C02"/>
    <w:rsid w:val="14E56EB1"/>
    <w:rsid w:val="14E833C5"/>
    <w:rsid w:val="14EF6AF2"/>
    <w:rsid w:val="15202377"/>
    <w:rsid w:val="15353F94"/>
    <w:rsid w:val="15636A11"/>
    <w:rsid w:val="15864CBE"/>
    <w:rsid w:val="158B717A"/>
    <w:rsid w:val="15A30A8C"/>
    <w:rsid w:val="15AB0040"/>
    <w:rsid w:val="15F874A1"/>
    <w:rsid w:val="160B5ABA"/>
    <w:rsid w:val="16394E85"/>
    <w:rsid w:val="16590C32"/>
    <w:rsid w:val="16BF796D"/>
    <w:rsid w:val="16D60828"/>
    <w:rsid w:val="16E641C4"/>
    <w:rsid w:val="17203A97"/>
    <w:rsid w:val="17696FE0"/>
    <w:rsid w:val="177C2B6D"/>
    <w:rsid w:val="17B42592"/>
    <w:rsid w:val="17DD0A63"/>
    <w:rsid w:val="17F77252"/>
    <w:rsid w:val="18125C7A"/>
    <w:rsid w:val="18777AFA"/>
    <w:rsid w:val="188A223C"/>
    <w:rsid w:val="188B02C7"/>
    <w:rsid w:val="1892516D"/>
    <w:rsid w:val="18D766FA"/>
    <w:rsid w:val="194045ED"/>
    <w:rsid w:val="19763B91"/>
    <w:rsid w:val="19B17A41"/>
    <w:rsid w:val="19DD3EF8"/>
    <w:rsid w:val="19F73E81"/>
    <w:rsid w:val="1A8C2A62"/>
    <w:rsid w:val="1AF04599"/>
    <w:rsid w:val="1B0C5089"/>
    <w:rsid w:val="1B2F580A"/>
    <w:rsid w:val="1B3A4B23"/>
    <w:rsid w:val="1B676D5F"/>
    <w:rsid w:val="1B7B2A2A"/>
    <w:rsid w:val="1BAD4F54"/>
    <w:rsid w:val="1BB05AD7"/>
    <w:rsid w:val="1BE97638"/>
    <w:rsid w:val="1BF55770"/>
    <w:rsid w:val="1BF72C79"/>
    <w:rsid w:val="1C06075E"/>
    <w:rsid w:val="1C3E3371"/>
    <w:rsid w:val="1C770AC4"/>
    <w:rsid w:val="1CA03525"/>
    <w:rsid w:val="1CAC3741"/>
    <w:rsid w:val="1D6762C4"/>
    <w:rsid w:val="1D693EDE"/>
    <w:rsid w:val="1DB9579F"/>
    <w:rsid w:val="1DFB08D0"/>
    <w:rsid w:val="1E2A1857"/>
    <w:rsid w:val="1E6C5ADB"/>
    <w:rsid w:val="1EB55A71"/>
    <w:rsid w:val="1EC90F46"/>
    <w:rsid w:val="1EFA7794"/>
    <w:rsid w:val="1F165581"/>
    <w:rsid w:val="1F4E5D98"/>
    <w:rsid w:val="1F7040EE"/>
    <w:rsid w:val="1FC42DC7"/>
    <w:rsid w:val="1FFA3FF9"/>
    <w:rsid w:val="20027E8A"/>
    <w:rsid w:val="2060293B"/>
    <w:rsid w:val="20915ED7"/>
    <w:rsid w:val="209F7DAC"/>
    <w:rsid w:val="20D73A5A"/>
    <w:rsid w:val="21143B4C"/>
    <w:rsid w:val="21325C72"/>
    <w:rsid w:val="2137097C"/>
    <w:rsid w:val="21B749D0"/>
    <w:rsid w:val="21E81F4C"/>
    <w:rsid w:val="21FE726F"/>
    <w:rsid w:val="22057C02"/>
    <w:rsid w:val="2214244A"/>
    <w:rsid w:val="22181FF2"/>
    <w:rsid w:val="2224602D"/>
    <w:rsid w:val="225A7C8A"/>
    <w:rsid w:val="226002D5"/>
    <w:rsid w:val="22BA2122"/>
    <w:rsid w:val="22D54F67"/>
    <w:rsid w:val="23925D1D"/>
    <w:rsid w:val="23D37805"/>
    <w:rsid w:val="247F4FF4"/>
    <w:rsid w:val="24D85EEB"/>
    <w:rsid w:val="255D78A2"/>
    <w:rsid w:val="25634F98"/>
    <w:rsid w:val="257974D5"/>
    <w:rsid w:val="25916AA4"/>
    <w:rsid w:val="25D65D28"/>
    <w:rsid w:val="260B587A"/>
    <w:rsid w:val="26117FA0"/>
    <w:rsid w:val="262275D1"/>
    <w:rsid w:val="263C1438"/>
    <w:rsid w:val="26D74631"/>
    <w:rsid w:val="26E0338E"/>
    <w:rsid w:val="26EC2707"/>
    <w:rsid w:val="270D629D"/>
    <w:rsid w:val="270D7D6E"/>
    <w:rsid w:val="271B2112"/>
    <w:rsid w:val="273D3CE1"/>
    <w:rsid w:val="273F2C22"/>
    <w:rsid w:val="273F5085"/>
    <w:rsid w:val="27777B13"/>
    <w:rsid w:val="27C7045C"/>
    <w:rsid w:val="27DC2B23"/>
    <w:rsid w:val="280C6F05"/>
    <w:rsid w:val="281B0309"/>
    <w:rsid w:val="283178CB"/>
    <w:rsid w:val="288F5D7B"/>
    <w:rsid w:val="289B7569"/>
    <w:rsid w:val="28AA153E"/>
    <w:rsid w:val="28FC341A"/>
    <w:rsid w:val="2A1C69F8"/>
    <w:rsid w:val="2A8B4E09"/>
    <w:rsid w:val="2A9D4879"/>
    <w:rsid w:val="2AA14CA8"/>
    <w:rsid w:val="2AC121DF"/>
    <w:rsid w:val="2AD14B31"/>
    <w:rsid w:val="2AD57C80"/>
    <w:rsid w:val="2AF10F5C"/>
    <w:rsid w:val="2B0C7BEA"/>
    <w:rsid w:val="2B65243A"/>
    <w:rsid w:val="2B7649BE"/>
    <w:rsid w:val="2B833315"/>
    <w:rsid w:val="2BAA6116"/>
    <w:rsid w:val="2BE95FAD"/>
    <w:rsid w:val="2C387E6F"/>
    <w:rsid w:val="2C421C7B"/>
    <w:rsid w:val="2C5D61AC"/>
    <w:rsid w:val="2C855069"/>
    <w:rsid w:val="2CA43435"/>
    <w:rsid w:val="2CDF5A47"/>
    <w:rsid w:val="2D000B7F"/>
    <w:rsid w:val="2D280BC1"/>
    <w:rsid w:val="2D3E15A4"/>
    <w:rsid w:val="2D9A22EF"/>
    <w:rsid w:val="2DD0519A"/>
    <w:rsid w:val="2E20215E"/>
    <w:rsid w:val="2E4072AA"/>
    <w:rsid w:val="2E521804"/>
    <w:rsid w:val="2E5D640D"/>
    <w:rsid w:val="2E7A2EB2"/>
    <w:rsid w:val="2E82340D"/>
    <w:rsid w:val="2E9D5498"/>
    <w:rsid w:val="2E9F3BE2"/>
    <w:rsid w:val="2F67058E"/>
    <w:rsid w:val="2F7C3F50"/>
    <w:rsid w:val="2F8F7792"/>
    <w:rsid w:val="2FE800A2"/>
    <w:rsid w:val="30221FB4"/>
    <w:rsid w:val="302A5494"/>
    <w:rsid w:val="304A7159"/>
    <w:rsid w:val="304B1338"/>
    <w:rsid w:val="30AB6B41"/>
    <w:rsid w:val="30EE6CA3"/>
    <w:rsid w:val="30F069FA"/>
    <w:rsid w:val="30F83409"/>
    <w:rsid w:val="30FB32F8"/>
    <w:rsid w:val="317B4B1E"/>
    <w:rsid w:val="32052280"/>
    <w:rsid w:val="32E4458C"/>
    <w:rsid w:val="32FB783E"/>
    <w:rsid w:val="33071ADC"/>
    <w:rsid w:val="33405C86"/>
    <w:rsid w:val="334E34FC"/>
    <w:rsid w:val="33520B64"/>
    <w:rsid w:val="335A1288"/>
    <w:rsid w:val="336660D1"/>
    <w:rsid w:val="33DD5B95"/>
    <w:rsid w:val="3401422B"/>
    <w:rsid w:val="341A5D77"/>
    <w:rsid w:val="3455090A"/>
    <w:rsid w:val="345C581D"/>
    <w:rsid w:val="346A2584"/>
    <w:rsid w:val="347F5194"/>
    <w:rsid w:val="34BB7587"/>
    <w:rsid w:val="34BD1541"/>
    <w:rsid w:val="34C42AA8"/>
    <w:rsid w:val="34C70C8A"/>
    <w:rsid w:val="34D038C0"/>
    <w:rsid w:val="35051296"/>
    <w:rsid w:val="35226149"/>
    <w:rsid w:val="35226409"/>
    <w:rsid w:val="355510D6"/>
    <w:rsid w:val="35614F37"/>
    <w:rsid w:val="356710AC"/>
    <w:rsid w:val="35916E07"/>
    <w:rsid w:val="359A757A"/>
    <w:rsid w:val="35F33C34"/>
    <w:rsid w:val="3631346C"/>
    <w:rsid w:val="366E2AEA"/>
    <w:rsid w:val="36767719"/>
    <w:rsid w:val="368F1EED"/>
    <w:rsid w:val="36A24E61"/>
    <w:rsid w:val="36BA77F2"/>
    <w:rsid w:val="36C56525"/>
    <w:rsid w:val="36EB32A4"/>
    <w:rsid w:val="36F02A16"/>
    <w:rsid w:val="373240D5"/>
    <w:rsid w:val="374C17F7"/>
    <w:rsid w:val="377A54BF"/>
    <w:rsid w:val="37F237F8"/>
    <w:rsid w:val="37F877E0"/>
    <w:rsid w:val="3836588A"/>
    <w:rsid w:val="3860185A"/>
    <w:rsid w:val="389F6C5E"/>
    <w:rsid w:val="390B59DF"/>
    <w:rsid w:val="39364032"/>
    <w:rsid w:val="39494047"/>
    <w:rsid w:val="399251D2"/>
    <w:rsid w:val="39E843EE"/>
    <w:rsid w:val="39F14134"/>
    <w:rsid w:val="3A2A69FC"/>
    <w:rsid w:val="3A496523"/>
    <w:rsid w:val="3A7033B3"/>
    <w:rsid w:val="3A867BB1"/>
    <w:rsid w:val="3AA75770"/>
    <w:rsid w:val="3B5B73B5"/>
    <w:rsid w:val="3B950B19"/>
    <w:rsid w:val="3BBC1D7C"/>
    <w:rsid w:val="3C0C5739"/>
    <w:rsid w:val="3C371BD0"/>
    <w:rsid w:val="3C665805"/>
    <w:rsid w:val="3C805325"/>
    <w:rsid w:val="3D9A2417"/>
    <w:rsid w:val="3DA26822"/>
    <w:rsid w:val="3DB86DD6"/>
    <w:rsid w:val="3DDC2BB6"/>
    <w:rsid w:val="3DE06A0F"/>
    <w:rsid w:val="3E747024"/>
    <w:rsid w:val="3E771221"/>
    <w:rsid w:val="3EC87493"/>
    <w:rsid w:val="3ECA6D2C"/>
    <w:rsid w:val="3F363F8B"/>
    <w:rsid w:val="3F824E8C"/>
    <w:rsid w:val="3F8C13A2"/>
    <w:rsid w:val="3FBE3C9E"/>
    <w:rsid w:val="407A1888"/>
    <w:rsid w:val="40811207"/>
    <w:rsid w:val="4089777C"/>
    <w:rsid w:val="408A3C30"/>
    <w:rsid w:val="409F7D44"/>
    <w:rsid w:val="40C913D4"/>
    <w:rsid w:val="40CC5DE9"/>
    <w:rsid w:val="40F679C1"/>
    <w:rsid w:val="410E3E35"/>
    <w:rsid w:val="41534C28"/>
    <w:rsid w:val="41A650C0"/>
    <w:rsid w:val="41D10E53"/>
    <w:rsid w:val="41DD6A83"/>
    <w:rsid w:val="41E87F50"/>
    <w:rsid w:val="41E9719C"/>
    <w:rsid w:val="421676EB"/>
    <w:rsid w:val="42371BC0"/>
    <w:rsid w:val="42A11B51"/>
    <w:rsid w:val="42A94EAA"/>
    <w:rsid w:val="43100811"/>
    <w:rsid w:val="435E5746"/>
    <w:rsid w:val="437159C8"/>
    <w:rsid w:val="43AC79FF"/>
    <w:rsid w:val="43D60E26"/>
    <w:rsid w:val="444B22B5"/>
    <w:rsid w:val="44695E5B"/>
    <w:rsid w:val="447314CE"/>
    <w:rsid w:val="44865664"/>
    <w:rsid w:val="448E3562"/>
    <w:rsid w:val="44F945DA"/>
    <w:rsid w:val="45384445"/>
    <w:rsid w:val="453F5652"/>
    <w:rsid w:val="458C75D8"/>
    <w:rsid w:val="45A904AC"/>
    <w:rsid w:val="45A9090B"/>
    <w:rsid w:val="45B13280"/>
    <w:rsid w:val="460D2E36"/>
    <w:rsid w:val="463D0E74"/>
    <w:rsid w:val="46806BA4"/>
    <w:rsid w:val="46905A4C"/>
    <w:rsid w:val="46A97923"/>
    <w:rsid w:val="46C2744B"/>
    <w:rsid w:val="46C93599"/>
    <w:rsid w:val="46CD505E"/>
    <w:rsid w:val="47001ECA"/>
    <w:rsid w:val="4708409D"/>
    <w:rsid w:val="47BE1C5C"/>
    <w:rsid w:val="486377BD"/>
    <w:rsid w:val="48A155A1"/>
    <w:rsid w:val="48A26146"/>
    <w:rsid w:val="48E17742"/>
    <w:rsid w:val="495441F8"/>
    <w:rsid w:val="49690EEF"/>
    <w:rsid w:val="49835FF6"/>
    <w:rsid w:val="49934965"/>
    <w:rsid w:val="499E03EC"/>
    <w:rsid w:val="49BC54C3"/>
    <w:rsid w:val="49CD0C90"/>
    <w:rsid w:val="4A0E3C60"/>
    <w:rsid w:val="4A17247D"/>
    <w:rsid w:val="4A7077B2"/>
    <w:rsid w:val="4A8E1FAD"/>
    <w:rsid w:val="4A987224"/>
    <w:rsid w:val="4C1027F5"/>
    <w:rsid w:val="4C140938"/>
    <w:rsid w:val="4C4869B3"/>
    <w:rsid w:val="4C670FC4"/>
    <w:rsid w:val="4C811A39"/>
    <w:rsid w:val="4D187B9C"/>
    <w:rsid w:val="4D4D782C"/>
    <w:rsid w:val="4D5F00C6"/>
    <w:rsid w:val="4DC94652"/>
    <w:rsid w:val="4DDE1B7F"/>
    <w:rsid w:val="4E0A0EF3"/>
    <w:rsid w:val="4E0B6B58"/>
    <w:rsid w:val="4E34569A"/>
    <w:rsid w:val="4E553227"/>
    <w:rsid w:val="4E663285"/>
    <w:rsid w:val="4EA41E49"/>
    <w:rsid w:val="4EDA6CE4"/>
    <w:rsid w:val="4EE65F3F"/>
    <w:rsid w:val="4EF704A2"/>
    <w:rsid w:val="4F17434B"/>
    <w:rsid w:val="4F867E4E"/>
    <w:rsid w:val="4FB13998"/>
    <w:rsid w:val="504A7CCC"/>
    <w:rsid w:val="505A6944"/>
    <w:rsid w:val="50611DAF"/>
    <w:rsid w:val="506F4243"/>
    <w:rsid w:val="5089670A"/>
    <w:rsid w:val="50A33DCD"/>
    <w:rsid w:val="50DD5D75"/>
    <w:rsid w:val="5131689F"/>
    <w:rsid w:val="51E647F7"/>
    <w:rsid w:val="520533FB"/>
    <w:rsid w:val="52143AFD"/>
    <w:rsid w:val="522B3DE7"/>
    <w:rsid w:val="52555569"/>
    <w:rsid w:val="52F91162"/>
    <w:rsid w:val="52FC2DD4"/>
    <w:rsid w:val="53190FD9"/>
    <w:rsid w:val="53603F71"/>
    <w:rsid w:val="53765A26"/>
    <w:rsid w:val="53795DEA"/>
    <w:rsid w:val="53954603"/>
    <w:rsid w:val="5398647F"/>
    <w:rsid w:val="53B477A2"/>
    <w:rsid w:val="546F2AEB"/>
    <w:rsid w:val="54CE3C4A"/>
    <w:rsid w:val="552A623B"/>
    <w:rsid w:val="55411B42"/>
    <w:rsid w:val="5579019D"/>
    <w:rsid w:val="559F7E89"/>
    <w:rsid w:val="55B81234"/>
    <w:rsid w:val="55BC3AD1"/>
    <w:rsid w:val="5611243C"/>
    <w:rsid w:val="565C381F"/>
    <w:rsid w:val="56723939"/>
    <w:rsid w:val="56752603"/>
    <w:rsid w:val="56B03064"/>
    <w:rsid w:val="56BD1629"/>
    <w:rsid w:val="56FB049E"/>
    <w:rsid w:val="5773796F"/>
    <w:rsid w:val="579932E7"/>
    <w:rsid w:val="57B719BC"/>
    <w:rsid w:val="57C65626"/>
    <w:rsid w:val="57E478CE"/>
    <w:rsid w:val="588C0756"/>
    <w:rsid w:val="58B55C87"/>
    <w:rsid w:val="58E45F93"/>
    <w:rsid w:val="58E73667"/>
    <w:rsid w:val="590929B0"/>
    <w:rsid w:val="591A79B6"/>
    <w:rsid w:val="59404E79"/>
    <w:rsid w:val="595F65D1"/>
    <w:rsid w:val="59821989"/>
    <w:rsid w:val="59B143F5"/>
    <w:rsid w:val="59B70E38"/>
    <w:rsid w:val="59F754D4"/>
    <w:rsid w:val="5A2447F3"/>
    <w:rsid w:val="5A39015A"/>
    <w:rsid w:val="5A600D7D"/>
    <w:rsid w:val="5A663C6D"/>
    <w:rsid w:val="5AF116BD"/>
    <w:rsid w:val="5AFC50AF"/>
    <w:rsid w:val="5B4F712A"/>
    <w:rsid w:val="5BA81DEA"/>
    <w:rsid w:val="5BB416EF"/>
    <w:rsid w:val="5BBB04C9"/>
    <w:rsid w:val="5C02145B"/>
    <w:rsid w:val="5C0F33DD"/>
    <w:rsid w:val="5C1E2DC4"/>
    <w:rsid w:val="5C500C07"/>
    <w:rsid w:val="5C591D09"/>
    <w:rsid w:val="5C756142"/>
    <w:rsid w:val="5CB762E9"/>
    <w:rsid w:val="5D014BFA"/>
    <w:rsid w:val="5D194829"/>
    <w:rsid w:val="5D260F2D"/>
    <w:rsid w:val="5D6B68D5"/>
    <w:rsid w:val="5D8442C9"/>
    <w:rsid w:val="5D950200"/>
    <w:rsid w:val="5DA66549"/>
    <w:rsid w:val="5DFD637E"/>
    <w:rsid w:val="5E73189F"/>
    <w:rsid w:val="5E917EAA"/>
    <w:rsid w:val="5EB60FE2"/>
    <w:rsid w:val="5ECA634C"/>
    <w:rsid w:val="5EF452EC"/>
    <w:rsid w:val="5F27080E"/>
    <w:rsid w:val="5F2D4723"/>
    <w:rsid w:val="5F313E05"/>
    <w:rsid w:val="5F3E17D5"/>
    <w:rsid w:val="5F71128A"/>
    <w:rsid w:val="5F9347C8"/>
    <w:rsid w:val="5FEA2220"/>
    <w:rsid w:val="6045671D"/>
    <w:rsid w:val="606D04A3"/>
    <w:rsid w:val="60AB3A08"/>
    <w:rsid w:val="60D3786A"/>
    <w:rsid w:val="61052DF9"/>
    <w:rsid w:val="6130229A"/>
    <w:rsid w:val="61363955"/>
    <w:rsid w:val="61572249"/>
    <w:rsid w:val="61C3417A"/>
    <w:rsid w:val="6256228E"/>
    <w:rsid w:val="62853361"/>
    <w:rsid w:val="62B831C1"/>
    <w:rsid w:val="62BA4BEA"/>
    <w:rsid w:val="62CF68EA"/>
    <w:rsid w:val="63715BA8"/>
    <w:rsid w:val="63800D2E"/>
    <w:rsid w:val="63C91E94"/>
    <w:rsid w:val="64370110"/>
    <w:rsid w:val="643E32B9"/>
    <w:rsid w:val="64D14E08"/>
    <w:rsid w:val="65627461"/>
    <w:rsid w:val="65C43C25"/>
    <w:rsid w:val="65CA32A0"/>
    <w:rsid w:val="65E77401"/>
    <w:rsid w:val="65FC33BF"/>
    <w:rsid w:val="66AA7F8F"/>
    <w:rsid w:val="66E612EE"/>
    <w:rsid w:val="66E63C24"/>
    <w:rsid w:val="671007B9"/>
    <w:rsid w:val="67391E88"/>
    <w:rsid w:val="675863D3"/>
    <w:rsid w:val="675D7CB8"/>
    <w:rsid w:val="679E4C9A"/>
    <w:rsid w:val="67A41370"/>
    <w:rsid w:val="67A755AC"/>
    <w:rsid w:val="68272D07"/>
    <w:rsid w:val="687B3EEC"/>
    <w:rsid w:val="688F605D"/>
    <w:rsid w:val="68B07C80"/>
    <w:rsid w:val="68D565A8"/>
    <w:rsid w:val="69960262"/>
    <w:rsid w:val="69AE7235"/>
    <w:rsid w:val="69D54F09"/>
    <w:rsid w:val="69EB0C64"/>
    <w:rsid w:val="6A147573"/>
    <w:rsid w:val="6A3F33A9"/>
    <w:rsid w:val="6A795B01"/>
    <w:rsid w:val="6A7B2288"/>
    <w:rsid w:val="6AD965D0"/>
    <w:rsid w:val="6AE57CC7"/>
    <w:rsid w:val="6AFC6EF7"/>
    <w:rsid w:val="6B384575"/>
    <w:rsid w:val="6B570121"/>
    <w:rsid w:val="6B637032"/>
    <w:rsid w:val="6B6A4787"/>
    <w:rsid w:val="6B7752F2"/>
    <w:rsid w:val="6BDB475D"/>
    <w:rsid w:val="6BFF1D07"/>
    <w:rsid w:val="6C2151AA"/>
    <w:rsid w:val="6CC23F43"/>
    <w:rsid w:val="6CC24944"/>
    <w:rsid w:val="6CE71FCB"/>
    <w:rsid w:val="6D013069"/>
    <w:rsid w:val="6D703160"/>
    <w:rsid w:val="6E7B26F0"/>
    <w:rsid w:val="6E907650"/>
    <w:rsid w:val="6EAA69C0"/>
    <w:rsid w:val="6EBB68D3"/>
    <w:rsid w:val="6EEA6F2E"/>
    <w:rsid w:val="6F3D0E01"/>
    <w:rsid w:val="6F5A6006"/>
    <w:rsid w:val="6F8C0561"/>
    <w:rsid w:val="6FA50623"/>
    <w:rsid w:val="6FBB353C"/>
    <w:rsid w:val="6FF40792"/>
    <w:rsid w:val="6FFD1356"/>
    <w:rsid w:val="701570FF"/>
    <w:rsid w:val="705219E6"/>
    <w:rsid w:val="706359C1"/>
    <w:rsid w:val="707352C8"/>
    <w:rsid w:val="708F5FDD"/>
    <w:rsid w:val="70B54C51"/>
    <w:rsid w:val="70D22AF0"/>
    <w:rsid w:val="713F4F2F"/>
    <w:rsid w:val="719B0488"/>
    <w:rsid w:val="71B66B18"/>
    <w:rsid w:val="71C4090A"/>
    <w:rsid w:val="71D17800"/>
    <w:rsid w:val="72504B83"/>
    <w:rsid w:val="727916F5"/>
    <w:rsid w:val="73090EC9"/>
    <w:rsid w:val="7375030D"/>
    <w:rsid w:val="738A3706"/>
    <w:rsid w:val="73C2117C"/>
    <w:rsid w:val="73E86ED0"/>
    <w:rsid w:val="74167DE3"/>
    <w:rsid w:val="7472484C"/>
    <w:rsid w:val="747B1E68"/>
    <w:rsid w:val="749F2E1A"/>
    <w:rsid w:val="750E0FD0"/>
    <w:rsid w:val="754216C1"/>
    <w:rsid w:val="75BD124E"/>
    <w:rsid w:val="75C7203D"/>
    <w:rsid w:val="764F693C"/>
    <w:rsid w:val="770A0CC3"/>
    <w:rsid w:val="771E77B9"/>
    <w:rsid w:val="77592B9B"/>
    <w:rsid w:val="777E5D17"/>
    <w:rsid w:val="77E41408"/>
    <w:rsid w:val="77F2439C"/>
    <w:rsid w:val="780954A3"/>
    <w:rsid w:val="782549A0"/>
    <w:rsid w:val="78700FBA"/>
    <w:rsid w:val="788405CB"/>
    <w:rsid w:val="78D6777B"/>
    <w:rsid w:val="7962424D"/>
    <w:rsid w:val="7A0643B5"/>
    <w:rsid w:val="7A2134D3"/>
    <w:rsid w:val="7A8D4D62"/>
    <w:rsid w:val="7AA92364"/>
    <w:rsid w:val="7B746C71"/>
    <w:rsid w:val="7B8117A9"/>
    <w:rsid w:val="7B8351D1"/>
    <w:rsid w:val="7BED7813"/>
    <w:rsid w:val="7C9000FA"/>
    <w:rsid w:val="7CAD6D69"/>
    <w:rsid w:val="7D5E0B05"/>
    <w:rsid w:val="7D9F624B"/>
    <w:rsid w:val="7D9F7B3D"/>
    <w:rsid w:val="7DB078EA"/>
    <w:rsid w:val="7E4342AC"/>
    <w:rsid w:val="7E536ABA"/>
    <w:rsid w:val="7E5E47BF"/>
    <w:rsid w:val="7E8537CD"/>
    <w:rsid w:val="7E93025D"/>
    <w:rsid w:val="7EAA0BE4"/>
    <w:rsid w:val="7EC73A39"/>
    <w:rsid w:val="7F0D131B"/>
    <w:rsid w:val="7F1909AD"/>
    <w:rsid w:val="7F866B4F"/>
    <w:rsid w:val="7F9336FF"/>
    <w:rsid w:val="7F9C2A34"/>
    <w:rsid w:val="7FB20DB0"/>
    <w:rsid w:val="7FFC3D5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qFormat="1" w:unhideWhenUsed="0" w:uiPriority="39"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qFormat="1"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600" w:lineRule="exact"/>
      <w:ind w:firstLine="640" w:firstLineChars="200"/>
      <w:jc w:val="both"/>
    </w:pPr>
    <w:rPr>
      <w:rFonts w:ascii="仿宋_GB2312" w:hAnsi="仿宋_GB2312" w:eastAsia="仿宋_GB2312" w:cs="仿宋_GB2312"/>
      <w:kern w:val="2"/>
      <w:sz w:val="32"/>
      <w:szCs w:val="32"/>
      <w:lang w:val="en-US" w:eastAsia="zh-CN" w:bidi="ar-SA"/>
    </w:rPr>
  </w:style>
  <w:style w:type="paragraph" w:styleId="5">
    <w:name w:val="heading 1"/>
    <w:basedOn w:val="1"/>
    <w:next w:val="1"/>
    <w:qFormat/>
    <w:uiPriority w:val="0"/>
    <w:pPr>
      <w:keepNext/>
      <w:keepLines/>
      <w:spacing w:beforeLines="0" w:beforeAutospacing="0" w:afterLines="0" w:afterAutospacing="0" w:line="600" w:lineRule="exact"/>
      <w:ind w:firstLine="0" w:firstLineChars="0"/>
      <w:jc w:val="center"/>
      <w:outlineLvl w:val="0"/>
    </w:pPr>
    <w:rPr>
      <w:rFonts w:ascii="方正小标宋简体" w:hAnsi="方正小标宋简体" w:eastAsia="方正小标宋简体" w:cs="方正小标宋简体"/>
      <w:kern w:val="44"/>
      <w:sz w:val="44"/>
      <w:szCs w:val="44"/>
    </w:rPr>
  </w:style>
  <w:style w:type="paragraph" w:styleId="6">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7">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8">
    <w:name w:val="heading 4"/>
    <w:basedOn w:val="1"/>
    <w:next w:val="1"/>
    <w:qFormat/>
    <w:uiPriority w:val="0"/>
    <w:pPr>
      <w:keepNext/>
      <w:keepLines/>
      <w:numPr>
        <w:ilvl w:val="3"/>
        <w:numId w:val="1"/>
      </w:numPr>
      <w:spacing w:line="360" w:lineRule="auto"/>
      <w:jc w:val="left"/>
      <w:outlineLvl w:val="3"/>
    </w:pPr>
    <w:rPr>
      <w:b/>
      <w:bCs/>
      <w:sz w:val="24"/>
    </w:rPr>
  </w:style>
  <w:style w:type="character" w:default="1" w:styleId="22">
    <w:name w:val="Default Paragraph Font"/>
    <w:semiHidden/>
    <w:qFormat/>
    <w:uiPriority w:val="0"/>
    <w:rPr>
      <w:rFonts w:ascii="Tahoma" w:hAnsi="Tahoma"/>
      <w:sz w:val="28"/>
      <w:szCs w:val="20"/>
    </w:rPr>
  </w:style>
  <w:style w:type="table" w:default="1" w:styleId="20">
    <w:name w:val="Normal Table"/>
    <w:semiHidden/>
    <w:qFormat/>
    <w:uiPriority w:val="0"/>
    <w:tblPr>
      <w:tblCellMar>
        <w:top w:w="0" w:type="dxa"/>
        <w:left w:w="108" w:type="dxa"/>
        <w:bottom w:w="0" w:type="dxa"/>
        <w:right w:w="108" w:type="dxa"/>
      </w:tblCellMar>
    </w:tblPr>
  </w:style>
  <w:style w:type="paragraph" w:customStyle="1" w:styleId="2">
    <w:name w:val="Default"/>
    <w:basedOn w:val="3"/>
    <w:next w:val="4"/>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paragraph" w:customStyle="1" w:styleId="3">
    <w:name w:val="纯文本1"/>
    <w:basedOn w:val="1"/>
    <w:qFormat/>
    <w:uiPriority w:val="0"/>
    <w:pPr>
      <w:adjustRightInd w:val="0"/>
      <w:textAlignment w:val="baseline"/>
    </w:pPr>
    <w:rPr>
      <w:rFonts w:ascii="宋体" w:hAnsi="Courier New" w:eastAsia="宋体" w:cs="Times New Roman"/>
      <w:szCs w:val="20"/>
    </w:rPr>
  </w:style>
  <w:style w:type="paragraph" w:styleId="4">
    <w:name w:val="toc 7"/>
    <w:basedOn w:val="1"/>
    <w:next w:val="1"/>
    <w:qFormat/>
    <w:uiPriority w:val="39"/>
    <w:pPr>
      <w:ind w:left="1260"/>
      <w:jc w:val="left"/>
    </w:pPr>
    <w:rPr>
      <w:sz w:val="18"/>
      <w:szCs w:val="18"/>
    </w:rPr>
  </w:style>
  <w:style w:type="paragraph" w:styleId="9">
    <w:name w:val="Note Heading"/>
    <w:basedOn w:val="1"/>
    <w:next w:val="1"/>
    <w:qFormat/>
    <w:uiPriority w:val="0"/>
    <w:pPr>
      <w:widowControl w:val="0"/>
      <w:spacing w:line="360" w:lineRule="auto"/>
      <w:ind w:firstLine="200" w:firstLineChars="200"/>
      <w:jc w:val="center"/>
    </w:pPr>
    <w:rPr>
      <w:rFonts w:ascii="Calibri" w:hAnsi="Calibri" w:eastAsia="宋体" w:cs="Times New Roman"/>
      <w:bCs/>
      <w:snapToGrid w:val="0"/>
      <w:kern w:val="2"/>
      <w:sz w:val="24"/>
      <w:szCs w:val="24"/>
      <w:lang w:val="en-GB" w:eastAsia="zh-CN" w:bidi="ar-SA"/>
    </w:rPr>
  </w:style>
  <w:style w:type="paragraph" w:styleId="10">
    <w:name w:val="Normal Indent"/>
    <w:basedOn w:val="1"/>
    <w:qFormat/>
    <w:uiPriority w:val="0"/>
    <w:pPr>
      <w:ind w:firstLine="420"/>
    </w:pPr>
    <w:rPr>
      <w:rFonts w:asciiTheme="minorHAnsi" w:hAnsiTheme="minorHAnsi" w:cstheme="minorBidi"/>
      <w:lang w:bidi="he-IL"/>
    </w:rPr>
  </w:style>
  <w:style w:type="paragraph" w:styleId="11">
    <w:name w:val="annotation text"/>
    <w:basedOn w:val="1"/>
    <w:qFormat/>
    <w:uiPriority w:val="0"/>
    <w:pPr>
      <w:jc w:val="left"/>
    </w:pPr>
  </w:style>
  <w:style w:type="paragraph" w:styleId="12">
    <w:name w:val="Body Text"/>
    <w:basedOn w:val="1"/>
    <w:next w:val="9"/>
    <w:qFormat/>
    <w:uiPriority w:val="0"/>
    <w:pPr>
      <w:spacing w:after="120"/>
    </w:pPr>
  </w:style>
  <w:style w:type="paragraph" w:styleId="13">
    <w:name w:val="Body Text Indent"/>
    <w:basedOn w:val="1"/>
    <w:unhideWhenUsed/>
    <w:qFormat/>
    <w:uiPriority w:val="0"/>
    <w:pPr>
      <w:spacing w:after="120"/>
      <w:ind w:left="420" w:leftChars="200"/>
    </w:pPr>
  </w:style>
  <w:style w:type="paragraph" w:styleId="14">
    <w:name w:val="Plain Text"/>
    <w:basedOn w:val="1"/>
    <w:qFormat/>
    <w:uiPriority w:val="0"/>
    <w:rPr>
      <w:rFonts w:ascii="宋体" w:hAnsi="Courier New"/>
    </w:rPr>
  </w:style>
  <w:style w:type="paragraph" w:styleId="15">
    <w:name w:val="footer"/>
    <w:basedOn w:val="1"/>
    <w:qFormat/>
    <w:uiPriority w:val="0"/>
    <w:pPr>
      <w:tabs>
        <w:tab w:val="center" w:pos="4153"/>
        <w:tab w:val="right" w:pos="8306"/>
      </w:tabs>
      <w:snapToGrid w:val="0"/>
      <w:ind w:firstLine="0" w:firstLineChars="0"/>
      <w:jc w:val="left"/>
    </w:pPr>
    <w:rPr>
      <w:sz w:val="28"/>
      <w:szCs w:val="28"/>
    </w:rPr>
  </w:style>
  <w:style w:type="paragraph" w:styleId="1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7">
    <w:name w:val="List"/>
    <w:basedOn w:val="1"/>
    <w:qFormat/>
    <w:uiPriority w:val="0"/>
    <w:pPr>
      <w:ind w:left="200" w:hanging="200" w:hangingChars="200"/>
    </w:pPr>
  </w:style>
  <w:style w:type="paragraph" w:styleId="18">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9">
    <w:name w:val="Title"/>
    <w:basedOn w:val="1"/>
    <w:next w:val="1"/>
    <w:qFormat/>
    <w:uiPriority w:val="10"/>
    <w:pPr>
      <w:spacing w:before="240" w:after="60"/>
      <w:jc w:val="center"/>
      <w:outlineLvl w:val="0"/>
    </w:pPr>
    <w:rPr>
      <w:rFonts w:ascii="Calibri Light" w:hAnsi="Calibri Light" w:cs="Times New Roman"/>
      <w:b/>
      <w:bCs/>
    </w:rPr>
  </w:style>
  <w:style w:type="table" w:styleId="21">
    <w:name w:val="Table Grid"/>
    <w:basedOn w:val="2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3">
    <w:name w:val="Strong"/>
    <w:basedOn w:val="22"/>
    <w:qFormat/>
    <w:uiPriority w:val="0"/>
    <w:rPr>
      <w:b/>
    </w:rPr>
  </w:style>
  <w:style w:type="character" w:styleId="24">
    <w:name w:val="Hyperlink"/>
    <w:basedOn w:val="22"/>
    <w:qFormat/>
    <w:uiPriority w:val="0"/>
    <w:rPr>
      <w:color w:val="0000FF"/>
      <w:u w:val="single"/>
    </w:rPr>
  </w:style>
  <w:style w:type="table" w:customStyle="1" w:styleId="25">
    <w:name w:val="正文+宋体4"/>
    <w:basedOn w:val="20"/>
    <w:qFormat/>
    <w:uiPriority w:val="99"/>
    <w:pPr>
      <w:widowControl w:val="0"/>
      <w:jc w:val="center"/>
    </w:pPr>
    <w:rPr>
      <w:szCs w:val="21"/>
    </w:rPr>
    <w:tblPr>
      <w:tblBorders>
        <w:top w:val="single" w:color="auto" w:sz="12" w:space="0"/>
        <w:bottom w:val="single" w:color="auto" w:sz="12" w:space="0"/>
        <w:insideH w:val="single" w:color="auto" w:sz="6" w:space="0"/>
        <w:insideV w:val="single" w:color="auto" w:sz="6" w:space="0"/>
      </w:tblBorders>
      <w:tblCellMar>
        <w:top w:w="0" w:type="dxa"/>
        <w:left w:w="108" w:type="dxa"/>
        <w:bottom w:w="0" w:type="dxa"/>
        <w:right w:w="108" w:type="dxa"/>
      </w:tblCellMar>
    </w:tblPr>
    <w:tcPr>
      <w:tcMar>
        <w:left w:w="28" w:type="dxa"/>
        <w:right w:w="28" w:type="dxa"/>
      </w:tcMar>
      <w:vAlign w:val="center"/>
    </w:tcPr>
  </w:style>
  <w:style w:type="paragraph" w:customStyle="1" w:styleId="26">
    <w:name w:val="环评批文文号"/>
    <w:basedOn w:val="1"/>
    <w:qFormat/>
    <w:uiPriority w:val="0"/>
    <w:pPr>
      <w:spacing w:before="1520" w:after="100" w:afterLines="100" w:line="600" w:lineRule="exact"/>
      <w:ind w:firstLine="0" w:firstLineChars="0"/>
      <w:jc w:val="right"/>
      <w:outlineLvl w:val="9"/>
    </w:pPr>
    <w:rPr>
      <w:rFonts w:hint="eastAsia"/>
      <w:color w:val="000000"/>
    </w:rPr>
  </w:style>
  <w:style w:type="paragraph" w:customStyle="1" w:styleId="27">
    <w:name w:val="主送机关"/>
    <w:basedOn w:val="1"/>
    <w:next w:val="1"/>
    <w:qFormat/>
    <w:uiPriority w:val="0"/>
    <w:pPr>
      <w:spacing w:line="600" w:lineRule="exact"/>
      <w:ind w:firstLine="0" w:firstLineChars="0"/>
      <w:outlineLvl w:val="9"/>
    </w:pPr>
    <w:rPr>
      <w:rFonts w:hint="eastAsia"/>
      <w:color w:val="000000"/>
    </w:rPr>
  </w:style>
  <w:style w:type="paragraph" w:customStyle="1" w:styleId="28">
    <w:name w:val="抄送单位"/>
    <w:basedOn w:val="1"/>
    <w:next w:val="1"/>
    <w:qFormat/>
    <w:uiPriority w:val="0"/>
    <w:pPr>
      <w:wordWrap w:val="0"/>
      <w:spacing w:line="600" w:lineRule="exact"/>
      <w:ind w:firstLine="0" w:firstLineChars="0"/>
      <w:jc w:val="left"/>
      <w:outlineLvl w:val="9"/>
    </w:pPr>
    <w:rPr>
      <w:rFonts w:hint="eastAsia"/>
      <w:color w:val="000000"/>
      <w:sz w:val="32"/>
      <w:szCs w:val="30"/>
    </w:rPr>
  </w:style>
  <w:style w:type="paragraph" w:customStyle="1" w:styleId="29">
    <w:name w:val="0cyx正文"/>
    <w:basedOn w:val="30"/>
    <w:qFormat/>
    <w:uiPriority w:val="0"/>
    <w:pPr>
      <w:keepNext w:val="0"/>
      <w:keepLines w:val="0"/>
      <w:ind w:firstLine="480" w:firstLineChars="200"/>
      <w:jc w:val="both"/>
      <w:outlineLvl w:val="9"/>
    </w:pPr>
    <w:rPr>
      <w:rFonts w:eastAsia="宋体"/>
      <w:b w:val="0"/>
      <w:sz w:val="24"/>
      <w:szCs w:val="24"/>
    </w:rPr>
  </w:style>
  <w:style w:type="paragraph" w:customStyle="1" w:styleId="30">
    <w:name w:val="0cyx第2标题"/>
    <w:basedOn w:val="6"/>
    <w:qFormat/>
    <w:uiPriority w:val="0"/>
    <w:pPr>
      <w:widowControl w:val="0"/>
      <w:adjustRightInd w:val="0"/>
      <w:snapToGrid w:val="0"/>
      <w:spacing w:before="0" w:after="0" w:line="360" w:lineRule="auto"/>
      <w:ind w:firstLine="0" w:firstLineChars="0"/>
      <w:jc w:val="left"/>
    </w:pPr>
    <w:rPr>
      <w:rFonts w:ascii="Times New Roman" w:hAnsi="Times New Roman" w:eastAsia="黑体"/>
    </w:rPr>
  </w:style>
  <w:style w:type="paragraph" w:customStyle="1" w:styleId="31">
    <w:name w:val="5文章正文"/>
    <w:basedOn w:val="1"/>
    <w:qFormat/>
    <w:uiPriority w:val="0"/>
    <w:pPr>
      <w:spacing w:line="360" w:lineRule="auto"/>
      <w:ind w:firstLine="200" w:firstLineChars="200"/>
    </w:pPr>
    <w:rPr>
      <w:rFonts w:cstheme="minorBidi"/>
      <w:sz w:val="24"/>
      <w:szCs w:val="24"/>
    </w:rPr>
  </w:style>
  <w:style w:type="character" w:customStyle="1" w:styleId="32">
    <w:name w:val="正文（） Char"/>
    <w:link w:val="33"/>
    <w:qFormat/>
    <w:uiPriority w:val="0"/>
    <w:rPr>
      <w:rFonts w:ascii="Times New Roman" w:hAnsi="Times New Roman" w:cs="Times New Roman"/>
      <w:color w:val="FF0000"/>
    </w:rPr>
  </w:style>
  <w:style w:type="paragraph" w:customStyle="1" w:styleId="33">
    <w:name w:val="正文（）"/>
    <w:basedOn w:val="1"/>
    <w:link w:val="32"/>
    <w:qFormat/>
    <w:uiPriority w:val="0"/>
    <w:pPr>
      <w:adjustRightInd w:val="0"/>
      <w:snapToGrid w:val="0"/>
      <w:spacing w:line="360" w:lineRule="auto"/>
      <w:ind w:firstLine="200" w:firstLineChars="200"/>
      <w:jc w:val="both"/>
    </w:pPr>
    <w:rPr>
      <w:rFonts w:ascii="Times New Roman" w:hAnsi="Times New Roman" w:cs="Times New Roman"/>
      <w:color w:val="FF0000"/>
    </w:rPr>
  </w:style>
  <w:style w:type="character" w:customStyle="1" w:styleId="34">
    <w:name w:val="表格内容（） Char"/>
    <w:link w:val="35"/>
    <w:qFormat/>
    <w:uiPriority w:val="0"/>
    <w:rPr>
      <w:rFonts w:ascii="Times New Roman" w:hAnsi="Times New Roman" w:cs="Times New Roman"/>
      <w:color w:val="FF0000"/>
      <w:sz w:val="21"/>
      <w:szCs w:val="21"/>
    </w:rPr>
  </w:style>
  <w:style w:type="paragraph" w:customStyle="1" w:styleId="35">
    <w:name w:val="表格内容（）"/>
    <w:basedOn w:val="1"/>
    <w:link w:val="34"/>
    <w:qFormat/>
    <w:uiPriority w:val="0"/>
    <w:pPr>
      <w:widowControl w:val="0"/>
      <w:adjustRightInd w:val="0"/>
      <w:snapToGrid w:val="0"/>
      <w:jc w:val="center"/>
    </w:pPr>
    <w:rPr>
      <w:rFonts w:ascii="Times New Roman" w:hAnsi="Times New Roman" w:cs="Times New Roman"/>
      <w:color w:val="FF0000"/>
      <w:sz w:val="21"/>
      <w:szCs w:val="21"/>
    </w:rPr>
  </w:style>
  <w:style w:type="paragraph" w:customStyle="1" w:styleId="36">
    <w:name w:val="表格内容"/>
    <w:basedOn w:val="1"/>
    <w:next w:val="1"/>
    <w:qFormat/>
    <w:uiPriority w:val="0"/>
    <w:pPr>
      <w:spacing w:line="240" w:lineRule="auto"/>
      <w:jc w:val="center"/>
    </w:pPr>
    <w:rPr>
      <w:rFonts w:ascii="Times New Roman" w:hAnsi="Times New Roman" w:eastAsia="宋体"/>
      <w:kern w:val="0"/>
      <w:sz w:val="21"/>
      <w:szCs w:val="20"/>
    </w:rPr>
  </w:style>
  <w:style w:type="paragraph" w:customStyle="1" w:styleId="37">
    <w:name w:val="YJ正文"/>
    <w:basedOn w:val="1"/>
    <w:qFormat/>
    <w:uiPriority w:val="0"/>
    <w:pPr>
      <w:adjustRightInd w:val="0"/>
      <w:snapToGrid w:val="0"/>
      <w:spacing w:line="360" w:lineRule="auto"/>
      <w:ind w:firstLine="420" w:firstLineChars="200"/>
    </w:pPr>
    <w:rPr>
      <w:rFonts w:ascii="Calibri" w:hAnsi="Calibri" w:eastAsia="宋体" w:cs="Calibri"/>
      <w:sz w:val="24"/>
    </w:rPr>
  </w:style>
  <w:style w:type="paragraph" w:customStyle="1" w:styleId="38">
    <w:name w:val="报告书正文"/>
    <w:basedOn w:val="1"/>
    <w:qFormat/>
    <w:uiPriority w:val="0"/>
    <w:pPr>
      <w:spacing w:line="300" w:lineRule="auto"/>
      <w:ind w:firstLine="200" w:firstLineChars="200"/>
    </w:pPr>
  </w:style>
  <w:style w:type="paragraph" w:customStyle="1" w:styleId="39">
    <w:name w:val="0002 正文"/>
    <w:next w:val="40"/>
    <w:qFormat/>
    <w:uiPriority w:val="0"/>
    <w:pPr>
      <w:spacing w:line="360" w:lineRule="auto"/>
      <w:ind w:firstLine="200" w:firstLineChars="200"/>
      <w:jc w:val="both"/>
    </w:pPr>
    <w:rPr>
      <w:rFonts w:ascii="Times New Roman" w:hAnsi="Times New Roman" w:eastAsia="宋体" w:cs="Times New Roman"/>
      <w:bCs/>
      <w:kern w:val="2"/>
      <w:sz w:val="24"/>
      <w:szCs w:val="32"/>
      <w:lang w:val="en-US" w:eastAsia="zh-CN" w:bidi="ar-SA"/>
    </w:rPr>
  </w:style>
  <w:style w:type="paragraph" w:customStyle="1" w:styleId="40">
    <w:name w:val="00 正文"/>
    <w:qFormat/>
    <w:uiPriority w:val="0"/>
    <w:pPr>
      <w:tabs>
        <w:tab w:val="left" w:pos="540"/>
      </w:tabs>
      <w:spacing w:before="120" w:after="120" w:line="500" w:lineRule="exact"/>
      <w:jc w:val="both"/>
    </w:pPr>
    <w:rPr>
      <w:rFonts w:ascii="Calibri" w:hAnsi="Calibri" w:eastAsia="宋体" w:cs="Times New Roman"/>
      <w:color w:val="000000"/>
      <w:spacing w:val="-2"/>
      <w:kern w:val="2"/>
      <w:sz w:val="24"/>
      <w:szCs w:val="24"/>
      <w:lang w:val="zh-CN" w:eastAsia="zh-CN" w:bidi="ar-SA"/>
    </w:rPr>
  </w:style>
  <w:style w:type="paragraph" w:customStyle="1" w:styleId="41">
    <w:name w:val=" Char Char Char Char Char Char1 Char"/>
    <w:basedOn w:val="1"/>
    <w:semiHidden/>
    <w:qFormat/>
    <w:uiPriority w:val="0"/>
    <w:pPr>
      <w:widowControl/>
      <w:spacing w:after="160" w:line="240" w:lineRule="exact"/>
      <w:jc w:val="left"/>
    </w:pPr>
    <w:rPr>
      <w:rFonts w:ascii="宋体" w:hAnsi="宋体" w:eastAsia="Times New Roman" w:cs="Verdana"/>
      <w:b/>
      <w:kern w:val="0"/>
      <w:szCs w:val="20"/>
      <w:lang w:eastAsia="en-US"/>
    </w:rPr>
  </w:style>
  <w:style w:type="paragraph" w:customStyle="1" w:styleId="42">
    <w:name w:val="表1"/>
    <w:basedOn w:val="1"/>
    <w:qFormat/>
    <w:uiPriority w:val="0"/>
    <w:pPr>
      <w:snapToGrid w:val="0"/>
      <w:spacing w:line="460" w:lineRule="exact"/>
      <w:ind w:firstLine="38"/>
      <w:jc w:val="center"/>
    </w:pPr>
    <w:rPr>
      <w:rFonts w:hAnsi="宋体"/>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1726</Words>
  <Characters>1813</Characters>
  <Lines>0</Lines>
  <Paragraphs>0</Paragraphs>
  <TotalTime>51</TotalTime>
  <ScaleCrop>false</ScaleCrop>
  <LinksUpToDate>false</LinksUpToDate>
  <CharactersWithSpaces>1814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2018-08-21T07:06:00Z</dcterms:created>
  <dc:creator>Yuri</dc:creator>
  <cp:lastModifiedBy>月见函灯</cp:lastModifiedBy>
  <cp:lastPrinted>2026-01-14T01:10:00Z</cp:lastPrinted>
  <dcterms:modified xsi:type="dcterms:W3CDTF">2026-10-16T03:43:38Z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24B7F4C2C4314C298D03CBA2BA544B86_13</vt:lpwstr>
  </property>
  <property fmtid="{D5CDD505-2E9C-101B-9397-08002B2CF9AE}" pid="4" name="KSOTemplateDocerSaveRecord">
    <vt:lpwstr>eyJoZGlkIjoiMDkxNDM5NTI3YTI2MzU0NTA3MzliODM2N2FlYTc2NjYiLCJ1c2VySWQiOiI0MjM3NjMwNzUifQ==</vt:lpwstr>
  </property>
</Properties>
</file>