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bCs/>
          <w:snapToGrid w:val="0"/>
          <w:color w:val="000000"/>
          <w:kern w:val="0"/>
          <w:sz w:val="44"/>
          <w:szCs w:val="44"/>
          <w:lang w:val="en-US" w:eastAsia="zh-CN"/>
        </w:rPr>
      </w:pPr>
      <w:bookmarkStart w:id="0" w:name="_GoBack"/>
      <w:bookmarkEnd w:id="0"/>
      <w:r>
        <w:rPr>
          <w:rFonts w:hint="eastAsia" w:ascii="黑体" w:hAnsi="黑体" w:eastAsia="黑体" w:cs="黑体"/>
          <w:snapToGrid w:val="0"/>
          <w:color w:val="000000"/>
          <w:kern w:val="0"/>
          <w:sz w:val="32"/>
          <w:szCs w:val="24"/>
          <w:lang w:val="en-US" w:eastAsia="zh-CN"/>
        </w:rPr>
        <w:t>附件1</w:t>
      </w:r>
    </w:p>
    <w:p>
      <w:pPr>
        <w:jc w:val="left"/>
        <w:rPr>
          <w:rFonts w:hint="eastAsia" w:ascii="黑体" w:hAnsi="黑体" w:eastAsia="黑体" w:cs="黑体"/>
          <w:snapToGrid w:val="0"/>
          <w:color w:val="000000"/>
          <w:kern w:val="0"/>
          <w:sz w:val="32"/>
          <w:szCs w:val="24"/>
          <w:lang w:val="en-US" w:eastAsia="zh-CN"/>
        </w:rPr>
      </w:pPr>
    </w:p>
    <w:p>
      <w:pPr>
        <w:spacing w:line="240" w:lineRule="auto"/>
        <w:ind w:firstLine="3614" w:firstLineChars="1000"/>
        <w:jc w:val="both"/>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连江县美丽</w:t>
      </w:r>
      <w:r>
        <w:rPr>
          <w:rFonts w:hint="eastAsia" w:ascii="宋体" w:hAnsi="宋体" w:eastAsia="宋体" w:cs="宋体"/>
          <w:b/>
          <w:bCs/>
          <w:sz w:val="36"/>
          <w:szCs w:val="36"/>
          <w:lang w:eastAsia="zh-CN"/>
        </w:rPr>
        <w:t>海湾保护与</w:t>
      </w:r>
      <w:r>
        <w:rPr>
          <w:rFonts w:hint="eastAsia" w:ascii="宋体" w:hAnsi="宋体" w:eastAsia="宋体" w:cs="宋体"/>
          <w:b/>
          <w:bCs/>
          <w:sz w:val="36"/>
          <w:szCs w:val="36"/>
        </w:rPr>
        <w:t>建设</w:t>
      </w:r>
      <w:r>
        <w:rPr>
          <w:rFonts w:hint="eastAsia" w:ascii="宋体" w:hAnsi="宋体" w:eastAsia="宋体" w:cs="宋体"/>
          <w:b/>
          <w:bCs/>
          <w:sz w:val="36"/>
          <w:szCs w:val="36"/>
          <w:lang w:eastAsia="zh-CN"/>
        </w:rPr>
        <w:t>时序安排</w:t>
      </w:r>
      <w:r>
        <w:rPr>
          <w:rFonts w:hint="eastAsia" w:ascii="宋体" w:hAnsi="宋体" w:cs="宋体"/>
          <w:b/>
          <w:bCs/>
          <w:sz w:val="36"/>
          <w:szCs w:val="36"/>
          <w:lang w:eastAsia="zh-CN"/>
        </w:rPr>
        <w:t>表</w:t>
      </w:r>
    </w:p>
    <w:tbl>
      <w:tblPr>
        <w:tblStyle w:val="6"/>
        <w:tblW w:w="14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174"/>
        <w:gridCol w:w="2638"/>
        <w:gridCol w:w="1070"/>
        <w:gridCol w:w="1396"/>
        <w:gridCol w:w="2590"/>
        <w:gridCol w:w="187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blHeader/>
          <w:jc w:val="center"/>
        </w:trPr>
        <w:tc>
          <w:tcPr>
            <w:tcW w:w="574" w:type="dxa"/>
            <w:noWrap w:val="0"/>
            <w:vAlign w:val="center"/>
          </w:tcPr>
          <w:p>
            <w:pPr>
              <w:spacing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174" w:type="dxa"/>
            <w:noWrap w:val="0"/>
            <w:vAlign w:val="center"/>
          </w:tcPr>
          <w:p>
            <w:pPr>
              <w:spacing w:line="30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eastAsia="zh-CN"/>
              </w:rPr>
              <w:t>美丽海湾建设</w:t>
            </w:r>
            <w:r>
              <w:rPr>
                <w:rFonts w:hint="eastAsia" w:ascii="宋体" w:hAnsi="宋体" w:eastAsia="宋体" w:cs="宋体"/>
                <w:b w:val="0"/>
                <w:bCs w:val="0"/>
                <w:color w:val="000000"/>
                <w:sz w:val="21"/>
                <w:szCs w:val="21"/>
              </w:rPr>
              <w:t>单元</w:t>
            </w:r>
          </w:p>
        </w:tc>
        <w:tc>
          <w:tcPr>
            <w:tcW w:w="2638" w:type="dxa"/>
            <w:noWrap w:val="0"/>
            <w:vAlign w:val="center"/>
          </w:tcPr>
          <w:p>
            <w:pPr>
              <w:spacing w:line="300" w:lineRule="exact"/>
              <w:jc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所在乡镇</w:t>
            </w:r>
          </w:p>
        </w:tc>
        <w:tc>
          <w:tcPr>
            <w:tcW w:w="1070" w:type="dxa"/>
            <w:noWrap w:val="0"/>
            <w:vAlign w:val="center"/>
          </w:tcPr>
          <w:p>
            <w:pPr>
              <w:keepNext w:val="0"/>
              <w:keepLines w:val="0"/>
              <w:widowControl/>
              <w:suppressLineNumbers w:val="0"/>
              <w:spacing w:line="300" w:lineRule="exact"/>
              <w:jc w:val="center"/>
              <w:textAlignment w:val="auto"/>
              <w:rPr>
                <w:rStyle w:val="8"/>
                <w:rFonts w:hint="eastAsia" w:ascii="宋体" w:hAnsi="宋体" w:eastAsia="宋体" w:cs="宋体"/>
                <w:b w:val="0"/>
                <w:bCs w:val="0"/>
                <w:sz w:val="21"/>
                <w:szCs w:val="21"/>
                <w:lang w:val="en-US" w:eastAsia="zh-CN" w:bidi="ar"/>
              </w:rPr>
            </w:pPr>
            <w:r>
              <w:rPr>
                <w:rStyle w:val="8"/>
                <w:rFonts w:hint="eastAsia" w:ascii="宋体" w:hAnsi="宋体" w:eastAsia="宋体" w:cs="宋体"/>
                <w:b w:val="0"/>
                <w:bCs w:val="0"/>
                <w:sz w:val="21"/>
                <w:szCs w:val="21"/>
                <w:lang w:val="en-US" w:eastAsia="zh-CN" w:bidi="ar"/>
              </w:rPr>
              <w:t>面积</w:t>
            </w:r>
          </w:p>
          <w:p>
            <w:pPr>
              <w:keepNext w:val="0"/>
              <w:keepLines w:val="0"/>
              <w:widowControl/>
              <w:suppressLineNumbers w:val="0"/>
              <w:spacing w:line="300" w:lineRule="exact"/>
              <w:jc w:val="center"/>
              <w:textAlignment w:val="auto"/>
              <w:rPr>
                <w:rFonts w:hint="eastAsia" w:ascii="宋体" w:hAnsi="宋体" w:eastAsia="宋体" w:cs="宋体"/>
                <w:b w:val="0"/>
                <w:bCs w:val="0"/>
                <w:color w:val="000000"/>
                <w:sz w:val="21"/>
                <w:szCs w:val="21"/>
              </w:rPr>
            </w:pPr>
            <w:r>
              <w:rPr>
                <w:rStyle w:val="8"/>
                <w:rFonts w:hint="eastAsia" w:ascii="宋体" w:hAnsi="宋体" w:eastAsia="宋体" w:cs="宋体"/>
                <w:b w:val="0"/>
                <w:bCs w:val="0"/>
                <w:sz w:val="21"/>
                <w:szCs w:val="21"/>
                <w:lang w:val="en-US" w:eastAsia="zh-CN" w:bidi="ar"/>
              </w:rPr>
              <w:t>（</w:t>
            </w:r>
            <w:r>
              <w:rPr>
                <w:rStyle w:val="9"/>
                <w:rFonts w:hint="eastAsia" w:ascii="宋体" w:hAnsi="宋体" w:eastAsia="宋体" w:cs="宋体"/>
                <w:b w:val="0"/>
                <w:bCs w:val="0"/>
                <w:sz w:val="21"/>
                <w:szCs w:val="21"/>
                <w:lang w:val="en-US" w:eastAsia="zh-CN" w:bidi="ar"/>
              </w:rPr>
              <w:t>km</w:t>
            </w:r>
            <w:r>
              <w:rPr>
                <w:rFonts w:hint="eastAsia" w:ascii="宋体" w:hAnsi="宋体" w:eastAsia="宋体" w:cs="宋体"/>
                <w:b w:val="0"/>
                <w:bCs w:val="0"/>
                <w:color w:val="000000"/>
                <w:sz w:val="21"/>
                <w:szCs w:val="21"/>
                <w:lang w:val="en-US" w:eastAsia="zh-CN" w:bidi="ar"/>
              </w:rPr>
              <w:t>²</w:t>
            </w:r>
            <w:r>
              <w:rPr>
                <w:rStyle w:val="8"/>
                <w:rFonts w:hint="eastAsia" w:ascii="宋体" w:hAnsi="宋体" w:eastAsia="宋体" w:cs="宋体"/>
                <w:b w:val="0"/>
                <w:bCs w:val="0"/>
                <w:sz w:val="21"/>
                <w:szCs w:val="21"/>
                <w:lang w:val="en-US" w:eastAsia="zh-CN" w:bidi="ar"/>
              </w:rPr>
              <w:t>）</w:t>
            </w:r>
          </w:p>
        </w:tc>
        <w:tc>
          <w:tcPr>
            <w:tcW w:w="1396" w:type="dxa"/>
            <w:noWrap w:val="0"/>
            <w:vAlign w:val="center"/>
          </w:tcPr>
          <w:p>
            <w:pPr>
              <w:spacing w:line="320" w:lineRule="exact"/>
              <w:jc w:val="center"/>
              <w:rPr>
                <w:rFonts w:hint="eastAsia" w:ascii="宋体" w:hAnsi="宋体" w:eastAsia="宋体" w:cs="宋体"/>
                <w:b/>
                <w:kern w:val="2"/>
                <w:sz w:val="21"/>
                <w:szCs w:val="21"/>
                <w:lang w:val="en-US" w:eastAsia="zh-CN" w:bidi="ar-SA"/>
              </w:rPr>
            </w:pPr>
            <w:r>
              <w:rPr>
                <w:rFonts w:hint="eastAsia" w:ascii="宋体" w:hAnsi="宋体" w:eastAsia="宋体" w:cs="宋体"/>
                <w:b/>
                <w:bCs/>
                <w:color w:val="000000"/>
                <w:sz w:val="21"/>
                <w:szCs w:val="21"/>
              </w:rPr>
              <w:t>推荐类别</w:t>
            </w:r>
          </w:p>
        </w:tc>
        <w:tc>
          <w:tcPr>
            <w:tcW w:w="2590" w:type="dxa"/>
            <w:noWrap w:val="0"/>
            <w:vAlign w:val="center"/>
          </w:tcPr>
          <w:p>
            <w:pPr>
              <w:spacing w:line="320" w:lineRule="exact"/>
              <w:jc w:val="center"/>
              <w:rPr>
                <w:rFonts w:hint="eastAsia" w:ascii="宋体" w:hAnsi="宋体" w:eastAsia="宋体" w:cs="宋体"/>
                <w:b/>
                <w:bCs/>
                <w:color w:val="000000"/>
                <w:sz w:val="21"/>
                <w:szCs w:val="21"/>
                <w:highlight w:val="none"/>
              </w:rPr>
            </w:pPr>
            <w:r>
              <w:rPr>
                <w:rFonts w:hint="eastAsia" w:ascii="宋体" w:hAnsi="宋体" w:eastAsia="宋体" w:cs="宋体"/>
                <w:b w:val="0"/>
                <w:bCs w:val="0"/>
                <w:color w:val="000000"/>
                <w:sz w:val="21"/>
                <w:szCs w:val="21"/>
                <w:highlight w:val="none"/>
                <w:lang w:eastAsia="zh-CN"/>
              </w:rPr>
              <w:t>美丽海湾建设岸段</w:t>
            </w:r>
          </w:p>
        </w:tc>
        <w:tc>
          <w:tcPr>
            <w:tcW w:w="1877" w:type="dxa"/>
            <w:noWrap w:val="0"/>
            <w:vAlign w:val="center"/>
          </w:tcPr>
          <w:p>
            <w:pPr>
              <w:spacing w:line="30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color w:val="auto"/>
                <w:sz w:val="21"/>
                <w:szCs w:val="21"/>
                <w:highlight w:val="none"/>
              </w:rPr>
              <w:t>美丽海湾建设时序安排</w:t>
            </w:r>
          </w:p>
        </w:tc>
        <w:tc>
          <w:tcPr>
            <w:tcW w:w="1877" w:type="dxa"/>
            <w:noWrap w:val="0"/>
            <w:vAlign w:val="center"/>
          </w:tcPr>
          <w:p>
            <w:pPr>
              <w:spacing w:line="300" w:lineRule="exact"/>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美丽海湾级别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574" w:type="dxa"/>
            <w:noWrap w:val="0"/>
            <w:vAlign w:val="center"/>
          </w:tcPr>
          <w:p>
            <w:pPr>
              <w:spacing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2174" w:type="dxa"/>
            <w:noWrap w:val="0"/>
            <w:vAlign w:val="center"/>
          </w:tcPr>
          <w:p>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黄岐半岛东部海域湾区</w:t>
            </w:r>
          </w:p>
        </w:tc>
        <w:tc>
          <w:tcPr>
            <w:tcW w:w="2638" w:type="dxa"/>
            <w:noWrap w:val="0"/>
            <w:vAlign w:val="center"/>
          </w:tcPr>
          <w:p>
            <w:pPr>
              <w:spacing w:line="30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筱埕镇、黄岐镇、安凯乡、苔菉镇、下宫镇</w:t>
            </w:r>
          </w:p>
        </w:tc>
        <w:tc>
          <w:tcPr>
            <w:tcW w:w="1070" w:type="dxa"/>
            <w:noWrap w:val="0"/>
            <w:vAlign w:val="center"/>
          </w:tcPr>
          <w:p>
            <w:pPr>
              <w:keepNext w:val="0"/>
              <w:keepLines w:val="0"/>
              <w:widowControl/>
              <w:suppressLineNumbers w:val="0"/>
              <w:spacing w:line="300" w:lineRule="exact"/>
              <w:jc w:val="center"/>
              <w:textAlignment w:val="auto"/>
              <w:rPr>
                <w:rFonts w:hint="default" w:ascii="宋体" w:hAnsi="宋体" w:eastAsia="宋体" w:cs="宋体"/>
                <w:sz w:val="21"/>
                <w:szCs w:val="21"/>
                <w:lang w:val="en-US"/>
              </w:rPr>
            </w:pPr>
            <w:r>
              <w:rPr>
                <w:rFonts w:hint="eastAsia" w:ascii="宋体" w:hAnsi="宋体" w:cs="宋体"/>
                <w:i w:val="0"/>
                <w:color w:val="000000"/>
                <w:kern w:val="2"/>
                <w:sz w:val="21"/>
                <w:szCs w:val="21"/>
                <w:u w:val="none"/>
                <w:lang w:val="en-US" w:eastAsia="zh-CN" w:bidi="ar"/>
              </w:rPr>
              <w:t>426.43</w:t>
            </w:r>
          </w:p>
        </w:tc>
        <w:tc>
          <w:tcPr>
            <w:tcW w:w="1396" w:type="dxa"/>
            <w:noWrap w:val="0"/>
            <w:vAlign w:val="center"/>
          </w:tcPr>
          <w:p>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eastAsia="zh-CN"/>
              </w:rPr>
              <w:t>公众</w:t>
            </w:r>
            <w:r>
              <w:rPr>
                <w:rFonts w:hint="eastAsia" w:ascii="宋体" w:hAnsi="宋体" w:eastAsia="宋体" w:cs="宋体"/>
                <w:color w:val="000000"/>
                <w:sz w:val="21"/>
                <w:szCs w:val="21"/>
              </w:rPr>
              <w:t>亲海型</w:t>
            </w:r>
          </w:p>
        </w:tc>
        <w:tc>
          <w:tcPr>
            <w:tcW w:w="2590" w:type="dxa"/>
            <w:noWrap w:val="0"/>
            <w:vAlign w:val="center"/>
          </w:tcPr>
          <w:p>
            <w:pPr>
              <w:spacing w:line="28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黄岐半岛</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年12月底</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2024年建成国家级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574" w:type="dxa"/>
            <w:noWrap w:val="0"/>
            <w:vAlign w:val="center"/>
          </w:tcPr>
          <w:p>
            <w:pPr>
              <w:spacing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2174" w:type="dxa"/>
            <w:noWrap w:val="0"/>
            <w:vAlign w:val="center"/>
          </w:tcPr>
          <w:p>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罗源湾</w:t>
            </w:r>
            <w:r>
              <w:rPr>
                <w:rFonts w:hint="eastAsia" w:ascii="宋体" w:hAnsi="宋体" w:eastAsia="宋体" w:cs="宋体"/>
                <w:color w:val="000000"/>
                <w:sz w:val="21"/>
                <w:szCs w:val="21"/>
                <w:lang w:eastAsia="zh-CN"/>
              </w:rPr>
              <w:t>（连江海域）</w:t>
            </w:r>
            <w:r>
              <w:rPr>
                <w:rFonts w:hint="eastAsia" w:ascii="宋体" w:hAnsi="宋体" w:eastAsia="宋体" w:cs="宋体"/>
                <w:color w:val="000000"/>
                <w:sz w:val="21"/>
                <w:szCs w:val="21"/>
              </w:rPr>
              <w:t>湾区</w:t>
            </w:r>
          </w:p>
        </w:tc>
        <w:tc>
          <w:tcPr>
            <w:tcW w:w="2638" w:type="dxa"/>
            <w:noWrap w:val="0"/>
            <w:vAlign w:val="center"/>
          </w:tcPr>
          <w:p>
            <w:pPr>
              <w:spacing w:line="30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马鼻镇、官坂镇、透堡镇、下宫镇</w:t>
            </w:r>
          </w:p>
        </w:tc>
        <w:tc>
          <w:tcPr>
            <w:tcW w:w="1070" w:type="dxa"/>
            <w:noWrap w:val="0"/>
            <w:vAlign w:val="center"/>
          </w:tcPr>
          <w:p>
            <w:pPr>
              <w:keepNext w:val="0"/>
              <w:keepLines w:val="0"/>
              <w:widowControl/>
              <w:suppressLineNumbers w:val="0"/>
              <w:spacing w:line="3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91.6</w:t>
            </w:r>
          </w:p>
        </w:tc>
        <w:tc>
          <w:tcPr>
            <w:tcW w:w="1396" w:type="dxa"/>
            <w:noWrap w:val="0"/>
            <w:vAlign w:val="center"/>
          </w:tcPr>
          <w:p>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绿色发展型</w:t>
            </w:r>
          </w:p>
        </w:tc>
        <w:tc>
          <w:tcPr>
            <w:tcW w:w="2590" w:type="dxa"/>
            <w:noWrap w:val="0"/>
            <w:vAlign w:val="center"/>
          </w:tcPr>
          <w:p>
            <w:pPr>
              <w:spacing w:line="280" w:lineRule="exact"/>
              <w:jc w:val="left"/>
              <w:rPr>
                <w:rFonts w:hint="eastAsia" w:ascii="宋体" w:hAnsi="宋体" w:eastAsia="宋体" w:cs="宋体"/>
                <w:sz w:val="21"/>
                <w:szCs w:val="21"/>
                <w:lang w:val="en-US" w:eastAsia="zh-CN"/>
              </w:rPr>
            </w:pPr>
            <w:r>
              <w:rPr>
                <w:rFonts w:hint="eastAsia" w:ascii="宋体" w:hAnsi="宋体" w:eastAsia="宋体" w:cs="宋体"/>
                <w:color w:val="000000"/>
                <w:sz w:val="21"/>
                <w:szCs w:val="21"/>
              </w:rPr>
              <w:t>罗源湾</w:t>
            </w:r>
            <w:r>
              <w:rPr>
                <w:rFonts w:hint="eastAsia" w:ascii="宋体" w:hAnsi="宋体" w:eastAsia="宋体" w:cs="宋体"/>
                <w:color w:val="000000"/>
                <w:sz w:val="21"/>
                <w:szCs w:val="21"/>
                <w:lang w:eastAsia="zh-CN"/>
              </w:rPr>
              <w:t>连江岸段</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十五五前半段</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“十五五”期间建成省级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574" w:type="dxa"/>
            <w:noWrap w:val="0"/>
            <w:vAlign w:val="center"/>
          </w:tcPr>
          <w:p>
            <w:pPr>
              <w:spacing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174" w:type="dxa"/>
            <w:noWrap w:val="0"/>
            <w:vAlign w:val="center"/>
          </w:tcPr>
          <w:p>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闽江口北部海域湾区</w:t>
            </w:r>
          </w:p>
        </w:tc>
        <w:tc>
          <w:tcPr>
            <w:tcW w:w="2638" w:type="dxa"/>
            <w:noWrap w:val="0"/>
            <w:vAlign w:val="center"/>
          </w:tcPr>
          <w:p>
            <w:pPr>
              <w:spacing w:line="30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浦口镇、东岱镇、晓澳镇</w:t>
            </w:r>
          </w:p>
        </w:tc>
        <w:tc>
          <w:tcPr>
            <w:tcW w:w="1070" w:type="dxa"/>
            <w:noWrap w:val="0"/>
            <w:vAlign w:val="center"/>
          </w:tcPr>
          <w:p>
            <w:pPr>
              <w:keepNext w:val="0"/>
              <w:keepLines w:val="0"/>
              <w:widowControl/>
              <w:suppressLineNumbers w:val="0"/>
              <w:spacing w:line="300" w:lineRule="exact"/>
              <w:jc w:val="center"/>
              <w:textAlignment w:val="auto"/>
              <w:rPr>
                <w:rFonts w:hint="eastAsia" w:ascii="宋体" w:hAnsi="宋体" w:eastAsia="宋体" w:cs="宋体"/>
                <w:sz w:val="21"/>
                <w:szCs w:val="21"/>
              </w:rPr>
            </w:pPr>
            <w:r>
              <w:rPr>
                <w:rFonts w:hint="eastAsia" w:ascii="宋体" w:hAnsi="宋体" w:eastAsia="宋体" w:cs="宋体"/>
                <w:i w:val="0"/>
                <w:color w:val="000000"/>
                <w:kern w:val="2"/>
                <w:sz w:val="21"/>
                <w:szCs w:val="21"/>
                <w:u w:val="none"/>
                <w:lang w:val="en-US" w:eastAsia="zh-CN" w:bidi="ar"/>
              </w:rPr>
              <w:t>252.3</w:t>
            </w:r>
          </w:p>
        </w:tc>
        <w:tc>
          <w:tcPr>
            <w:tcW w:w="1396" w:type="dxa"/>
            <w:noWrap w:val="0"/>
            <w:vAlign w:val="center"/>
          </w:tcPr>
          <w:p>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eastAsia="zh-CN"/>
              </w:rPr>
              <w:t>公众</w:t>
            </w:r>
            <w:r>
              <w:rPr>
                <w:rFonts w:hint="eastAsia" w:ascii="宋体" w:hAnsi="宋体" w:eastAsia="宋体" w:cs="宋体"/>
                <w:color w:val="000000"/>
                <w:sz w:val="21"/>
                <w:szCs w:val="21"/>
              </w:rPr>
              <w:t>亲海型</w:t>
            </w:r>
          </w:p>
        </w:tc>
        <w:tc>
          <w:tcPr>
            <w:tcW w:w="2590" w:type="dxa"/>
            <w:noWrap w:val="0"/>
            <w:vAlign w:val="center"/>
          </w:tcPr>
          <w:p>
            <w:pPr>
              <w:spacing w:line="28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闽江口北部海域</w:t>
            </w:r>
            <w:r>
              <w:rPr>
                <w:rFonts w:hint="eastAsia" w:ascii="宋体" w:hAnsi="宋体" w:eastAsia="宋体" w:cs="宋体"/>
                <w:color w:val="000000"/>
                <w:sz w:val="21"/>
                <w:szCs w:val="21"/>
                <w:lang w:eastAsia="zh-CN"/>
              </w:rPr>
              <w:t>岸段</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十五五前半段</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“十五五”期间建成省级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574" w:type="dxa"/>
            <w:noWrap w:val="0"/>
            <w:vAlign w:val="center"/>
          </w:tcPr>
          <w:p>
            <w:pPr>
              <w:spacing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2174" w:type="dxa"/>
            <w:noWrap w:val="0"/>
            <w:vAlign w:val="center"/>
          </w:tcPr>
          <w:p>
            <w:pPr>
              <w:spacing w:line="3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闽江口海域湾区</w:t>
            </w:r>
          </w:p>
        </w:tc>
        <w:tc>
          <w:tcPr>
            <w:tcW w:w="2638" w:type="dxa"/>
            <w:noWrap w:val="0"/>
            <w:vAlign w:val="center"/>
          </w:tcPr>
          <w:p>
            <w:pPr>
              <w:spacing w:line="30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琯头镇、晓澳镇</w:t>
            </w:r>
          </w:p>
        </w:tc>
        <w:tc>
          <w:tcPr>
            <w:tcW w:w="1070" w:type="dxa"/>
            <w:noWrap w:val="0"/>
            <w:vAlign w:val="center"/>
          </w:tcPr>
          <w:p>
            <w:pPr>
              <w:keepNext w:val="0"/>
              <w:keepLines w:val="0"/>
              <w:widowControl/>
              <w:suppressLineNumbers w:val="0"/>
              <w:spacing w:line="300" w:lineRule="exact"/>
              <w:jc w:val="center"/>
              <w:textAlignment w:val="auto"/>
              <w:rPr>
                <w:rFonts w:hint="default" w:ascii="宋体" w:hAnsi="宋体" w:eastAsia="宋体" w:cs="宋体"/>
                <w:sz w:val="21"/>
                <w:szCs w:val="21"/>
                <w:lang w:val="en-US"/>
              </w:rPr>
            </w:pPr>
            <w:r>
              <w:rPr>
                <w:rFonts w:hint="eastAsia" w:ascii="宋体" w:hAnsi="宋体" w:eastAsia="宋体" w:cs="宋体"/>
                <w:i w:val="0"/>
                <w:color w:val="000000"/>
                <w:kern w:val="2"/>
                <w:sz w:val="21"/>
                <w:szCs w:val="21"/>
                <w:u w:val="none"/>
                <w:lang w:val="en-US" w:eastAsia="zh-CN" w:bidi="ar"/>
              </w:rPr>
              <w:t>22.97</w:t>
            </w:r>
          </w:p>
        </w:tc>
        <w:tc>
          <w:tcPr>
            <w:tcW w:w="1396" w:type="dxa"/>
            <w:noWrap w:val="0"/>
            <w:vAlign w:val="center"/>
          </w:tcPr>
          <w:p>
            <w:pPr>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生态保育型</w:t>
            </w:r>
          </w:p>
        </w:tc>
        <w:tc>
          <w:tcPr>
            <w:tcW w:w="2590" w:type="dxa"/>
            <w:noWrap w:val="0"/>
            <w:vAlign w:val="center"/>
          </w:tcPr>
          <w:p>
            <w:pPr>
              <w:spacing w:line="28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闽江口海域</w:t>
            </w:r>
            <w:r>
              <w:rPr>
                <w:rFonts w:hint="eastAsia" w:ascii="宋体" w:hAnsi="宋体" w:eastAsia="宋体" w:cs="宋体"/>
                <w:color w:val="000000"/>
                <w:sz w:val="21"/>
                <w:szCs w:val="21"/>
                <w:lang w:eastAsia="zh-CN"/>
              </w:rPr>
              <w:t>连江岸段</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十五五前半段</w:t>
            </w:r>
          </w:p>
        </w:tc>
        <w:tc>
          <w:tcPr>
            <w:tcW w:w="1877" w:type="dxa"/>
            <w:noWrap w:val="0"/>
            <w:vAlign w:val="center"/>
          </w:tcPr>
          <w:p>
            <w:pPr>
              <w:widowControl/>
              <w:adjustRightInd/>
              <w:snapToGrid/>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“十五五”期间建成省级</w:t>
            </w:r>
          </w:p>
        </w:tc>
      </w:tr>
    </w:tbl>
    <w:p>
      <w:pPr>
        <w:pStyle w:val="4"/>
        <w:keepNext w:val="0"/>
        <w:keepLines w:val="0"/>
        <w:overflowPunct w:val="0"/>
        <w:adjustRightInd w:val="0"/>
        <w:snapToGrid w:val="0"/>
        <w:spacing w:before="0" w:after="0" w:line="300" w:lineRule="auto"/>
        <w:jc w:val="both"/>
        <w:textAlignment w:val="center"/>
        <w:rPr>
          <w:rFonts w:hint="eastAsia" w:ascii="黑体" w:hAnsi="黑体" w:eastAsia="黑体" w:cs="黑体"/>
          <w:b w:val="0"/>
          <w:bCs w:val="0"/>
          <w:sz w:val="32"/>
          <w:szCs w:val="32"/>
          <w:lang w:eastAsia="zh-CN"/>
        </w:rPr>
        <w:sectPr>
          <w:pgSz w:w="16838" w:h="11906" w:orient="landscape"/>
          <w:pgMar w:top="1587" w:right="1134" w:bottom="1417" w:left="1134" w:header="851" w:footer="992" w:gutter="0"/>
          <w:pgNumType w:fmt="numberInDash"/>
          <w:cols w:space="720" w:num="1"/>
          <w:rtlGutter w:val="0"/>
          <w:docGrid w:type="lines" w:linePitch="445" w:charSpace="0"/>
        </w:sectPr>
      </w:pPr>
    </w:p>
    <w:p>
      <w:pPr>
        <w:jc w:val="left"/>
        <w:rPr>
          <w:rFonts w:hint="default" w:ascii="宋体" w:hAnsi="宋体" w:eastAsia="宋体" w:cs="宋体"/>
          <w:b/>
          <w:bCs/>
          <w:snapToGrid w:val="0"/>
          <w:color w:val="000000"/>
          <w:kern w:val="0"/>
          <w:sz w:val="44"/>
          <w:szCs w:val="44"/>
          <w:lang w:val="en-US" w:eastAsia="zh-CN"/>
        </w:rPr>
      </w:pPr>
      <w:r>
        <w:rPr>
          <w:rFonts w:hint="eastAsia" w:ascii="黑体" w:hAnsi="黑体" w:eastAsia="黑体" w:cs="黑体"/>
          <w:snapToGrid w:val="0"/>
          <w:color w:val="000000"/>
          <w:kern w:val="0"/>
          <w:sz w:val="32"/>
          <w:szCs w:val="24"/>
          <w:lang w:val="en-US" w:eastAsia="zh-CN"/>
        </w:rPr>
        <w:t>附件2</w:t>
      </w:r>
    </w:p>
    <w:p>
      <w:pPr>
        <w:jc w:val="center"/>
        <w:rPr>
          <w:rFonts w:hint="eastAsia" w:ascii="宋体" w:hAnsi="宋体" w:eastAsia="宋体" w:cs="宋体"/>
          <w:b/>
          <w:bCs/>
          <w:snapToGrid w:val="0"/>
          <w:color w:val="000000"/>
          <w:kern w:val="0"/>
          <w:sz w:val="44"/>
          <w:szCs w:val="44"/>
          <w:lang w:val="en-US" w:eastAsia="zh-CN"/>
        </w:rPr>
      </w:pPr>
      <w:r>
        <w:rPr>
          <w:rFonts w:hint="eastAsia" w:ascii="宋体" w:hAnsi="宋体" w:eastAsia="宋体" w:cs="宋体"/>
          <w:b/>
          <w:bCs/>
          <w:snapToGrid w:val="0"/>
          <w:color w:val="000000"/>
          <w:kern w:val="0"/>
          <w:sz w:val="44"/>
          <w:szCs w:val="44"/>
          <w:lang w:val="en-US" w:eastAsia="zh-CN"/>
        </w:rPr>
        <w:t>“美丽海湾”评估指标表</w:t>
      </w:r>
    </w:p>
    <w:tbl>
      <w:tblPr>
        <w:tblStyle w:val="5"/>
        <w:tblW w:w="484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2"/>
        <w:gridCol w:w="915"/>
        <w:gridCol w:w="745"/>
        <w:gridCol w:w="1206"/>
        <w:gridCol w:w="4424"/>
        <w:gridCol w:w="2542"/>
        <w:gridCol w:w="937"/>
        <w:gridCol w:w="1124"/>
        <w:gridCol w:w="11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3" w:hRule="atLeast"/>
          <w:tblHeader/>
        </w:trPr>
        <w:tc>
          <w:tcPr>
            <w:tcW w:w="259" w:type="pct"/>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序号</w:t>
            </w:r>
          </w:p>
        </w:tc>
        <w:tc>
          <w:tcPr>
            <w:tcW w:w="333" w:type="pct"/>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一级</w:t>
            </w:r>
          </w:p>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指标</w:t>
            </w:r>
          </w:p>
        </w:tc>
        <w:tc>
          <w:tcPr>
            <w:tcW w:w="271" w:type="pct"/>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二级</w:t>
            </w:r>
          </w:p>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指标</w:t>
            </w:r>
          </w:p>
        </w:tc>
        <w:tc>
          <w:tcPr>
            <w:tcW w:w="439" w:type="pct"/>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三级指标</w:t>
            </w:r>
          </w:p>
        </w:tc>
        <w:tc>
          <w:tcPr>
            <w:tcW w:w="1610" w:type="pct"/>
            <w:noWrap/>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指标说明</w:t>
            </w:r>
          </w:p>
        </w:tc>
        <w:tc>
          <w:tcPr>
            <w:tcW w:w="925" w:type="pct"/>
            <w:noWrap w:val="0"/>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目标要求</w:t>
            </w:r>
          </w:p>
        </w:tc>
        <w:tc>
          <w:tcPr>
            <w:tcW w:w="341" w:type="pct"/>
            <w:noWrap w:val="0"/>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产业主导型</w:t>
            </w:r>
          </w:p>
        </w:tc>
        <w:tc>
          <w:tcPr>
            <w:tcW w:w="409" w:type="pct"/>
            <w:noWrap w:val="0"/>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生态保育型</w:t>
            </w:r>
          </w:p>
        </w:tc>
        <w:tc>
          <w:tcPr>
            <w:tcW w:w="411" w:type="pct"/>
            <w:noWrap w:val="0"/>
            <w:vAlign w:val="center"/>
          </w:tcPr>
          <w:p>
            <w:pPr>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亲海休闲型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24"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333" w:type="pct"/>
            <w:vMerge w:val="restar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水清</w:t>
            </w:r>
          </w:p>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滩净</w:t>
            </w:r>
          </w:p>
        </w:tc>
        <w:tc>
          <w:tcPr>
            <w:tcW w:w="271" w:type="pct"/>
            <w:vMerge w:val="restart"/>
            <w:tcBorders>
              <w:bottom w:val="single" w:color="auto" w:sz="8" w:space="0"/>
            </w:tcBorders>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海水环境</w:t>
            </w:r>
          </w:p>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质量状况</w:t>
            </w: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海湾水质</w:t>
            </w:r>
            <w:r>
              <w:rPr>
                <w:rFonts w:hint="eastAsia" w:ascii="仿宋_GB2312" w:hAnsi="仿宋_GB2312" w:eastAsia="仿宋_GB2312" w:cs="仿宋_GB2312"/>
                <w:color w:val="000000"/>
                <w:kern w:val="0"/>
                <w:sz w:val="21"/>
                <w:szCs w:val="21"/>
                <w:lang w:eastAsia="zh-CN"/>
              </w:rPr>
              <w:t>优良情况</w:t>
            </w:r>
          </w:p>
        </w:tc>
        <w:tc>
          <w:tcPr>
            <w:tcW w:w="1610"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指标解释：指海水水质优良（一、二类海水水质）</w:t>
            </w:r>
            <w:r>
              <w:rPr>
                <w:rFonts w:hint="eastAsia" w:ascii="仿宋_GB2312" w:hAnsi="仿宋_GB2312" w:eastAsia="仿宋_GB2312" w:cs="仿宋_GB2312"/>
                <w:color w:val="000000"/>
                <w:kern w:val="0"/>
                <w:sz w:val="21"/>
                <w:szCs w:val="21"/>
                <w:lang w:eastAsia="zh-CN"/>
              </w:rPr>
              <w:t>比例及主要指标变化情况</w:t>
            </w:r>
            <w:r>
              <w:rPr>
                <w:rFonts w:hint="eastAsia" w:ascii="仿宋_GB2312" w:hAnsi="仿宋_GB2312" w:eastAsia="仿宋_GB2312" w:cs="仿宋_GB2312"/>
                <w:color w:val="000000"/>
                <w:kern w:val="0"/>
                <w:sz w:val="21"/>
                <w:szCs w:val="21"/>
              </w:rPr>
              <w:t>。</w:t>
            </w:r>
          </w:p>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海湾水质优良比例（%）=</w:t>
            </w:r>
            <w:r>
              <w:rPr>
                <w:rFonts w:hint="eastAsia" w:ascii="仿宋_GB2312" w:hAnsi="仿宋_GB2312" w:eastAsia="仿宋_GB2312" w:cs="仿宋_GB2312"/>
                <w:color w:val="000000"/>
                <w:kern w:val="0"/>
                <w:sz w:val="21"/>
                <w:szCs w:val="21"/>
                <w:lang w:eastAsia="zh-CN"/>
              </w:rPr>
              <w:t>海湾内</w:t>
            </w:r>
            <w:r>
              <w:rPr>
                <w:rFonts w:hint="eastAsia" w:ascii="仿宋_GB2312" w:hAnsi="仿宋_GB2312" w:eastAsia="仿宋_GB2312" w:cs="仿宋_GB2312"/>
                <w:color w:val="000000"/>
                <w:kern w:val="0"/>
                <w:sz w:val="21"/>
                <w:szCs w:val="21"/>
              </w:rPr>
              <w:t>符合第一、二类海水水质</w:t>
            </w:r>
            <w:r>
              <w:rPr>
                <w:rFonts w:hint="eastAsia" w:ascii="仿宋_GB2312" w:hAnsi="仿宋_GB2312" w:eastAsia="仿宋_GB2312" w:cs="仿宋_GB2312"/>
                <w:color w:val="000000"/>
                <w:kern w:val="0"/>
                <w:sz w:val="21"/>
                <w:szCs w:val="21"/>
                <w:lang w:eastAsia="zh-CN"/>
              </w:rPr>
              <w:t>的国省控点位数</w:t>
            </w:r>
            <w:r>
              <w:rPr>
                <w:rFonts w:hint="eastAsia" w:ascii="仿宋_GB2312" w:hAnsi="仿宋_GB2312" w:eastAsia="仿宋_GB2312" w:cs="仿宋_GB2312"/>
                <w:color w:val="000000"/>
                <w:kern w:val="0"/>
                <w:sz w:val="21"/>
                <w:szCs w:val="21"/>
              </w:rPr>
              <w:t>÷海湾</w:t>
            </w:r>
            <w:r>
              <w:rPr>
                <w:rFonts w:hint="eastAsia" w:ascii="仿宋_GB2312" w:hAnsi="仿宋_GB2312" w:eastAsia="仿宋_GB2312" w:cs="仿宋_GB2312"/>
                <w:color w:val="000000"/>
                <w:kern w:val="0"/>
                <w:sz w:val="21"/>
                <w:szCs w:val="21"/>
                <w:lang w:eastAsia="zh-CN"/>
              </w:rPr>
              <w:t>内</w:t>
            </w:r>
            <w:r>
              <w:rPr>
                <w:rFonts w:hint="eastAsia" w:ascii="仿宋_GB2312" w:hAnsi="仿宋_GB2312" w:eastAsia="仿宋_GB2312" w:cs="仿宋_GB2312"/>
                <w:color w:val="000000"/>
                <w:kern w:val="0"/>
                <w:sz w:val="21"/>
                <w:szCs w:val="21"/>
              </w:rPr>
              <w:t>总</w:t>
            </w:r>
            <w:r>
              <w:rPr>
                <w:rFonts w:hint="eastAsia" w:ascii="仿宋_GB2312" w:hAnsi="仿宋_GB2312" w:eastAsia="仿宋_GB2312" w:cs="仿宋_GB2312"/>
                <w:color w:val="000000"/>
                <w:kern w:val="0"/>
                <w:sz w:val="21"/>
                <w:szCs w:val="21"/>
                <w:lang w:eastAsia="zh-CN"/>
              </w:rPr>
              <w:t>国省控点位数</w:t>
            </w:r>
            <w:r>
              <w:rPr>
                <w:rFonts w:hint="eastAsia" w:ascii="仿宋_GB2312" w:hAnsi="仿宋_GB2312" w:eastAsia="仿宋_GB2312" w:cs="仿宋_GB2312"/>
                <w:color w:val="000000"/>
                <w:kern w:val="0"/>
                <w:sz w:val="21"/>
                <w:szCs w:val="21"/>
              </w:rPr>
              <w:t>×100%。</w:t>
            </w:r>
          </w:p>
          <w:p>
            <w:pP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2.主要指标浓度年均值=年度内监测的主要指标浓度之和</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年度内</w:t>
            </w:r>
            <w:r>
              <w:rPr>
                <w:rFonts w:hint="eastAsia" w:ascii="仿宋_GB2312" w:hAnsi="仿宋_GB2312" w:eastAsia="仿宋_GB2312" w:cs="仿宋_GB2312"/>
                <w:color w:val="000000"/>
                <w:kern w:val="0"/>
                <w:sz w:val="21"/>
                <w:szCs w:val="21"/>
                <w:lang w:eastAsia="zh-CN"/>
              </w:rPr>
              <w:t>监测总次数</w:t>
            </w:r>
          </w:p>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w:t>
            </w:r>
          </w:p>
        </w:tc>
        <w:tc>
          <w:tcPr>
            <w:tcW w:w="925" w:type="pct"/>
            <w:tcBorders>
              <w:bottom w:val="single" w:color="auto" w:sz="8" w:space="0"/>
            </w:tcBorders>
            <w:noWrap w:val="0"/>
            <w:vAlign w:val="center"/>
          </w:tcPr>
          <w:p>
            <w:pPr>
              <w:numPr>
                <w:ilvl w:val="0"/>
                <w:numId w:val="0"/>
              </w:num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海湾</w:t>
            </w:r>
            <w:r>
              <w:rPr>
                <w:rFonts w:hint="eastAsia" w:ascii="仿宋_GB2312" w:hAnsi="仿宋_GB2312" w:eastAsia="仿宋_GB2312" w:cs="仿宋_GB2312"/>
                <w:color w:val="000000"/>
                <w:kern w:val="0"/>
                <w:sz w:val="21"/>
                <w:szCs w:val="21"/>
                <w:lang w:eastAsia="zh-CN"/>
              </w:rPr>
              <w:t>国省控点位</w:t>
            </w:r>
            <w:r>
              <w:rPr>
                <w:rFonts w:hint="eastAsia" w:ascii="仿宋_GB2312" w:hAnsi="仿宋_GB2312" w:eastAsia="仿宋_GB2312" w:cs="仿宋_GB2312"/>
                <w:color w:val="000000"/>
                <w:kern w:val="0"/>
                <w:sz w:val="21"/>
                <w:szCs w:val="21"/>
              </w:rPr>
              <w:t>水质优良比例与</w:t>
            </w:r>
            <w:r>
              <w:rPr>
                <w:rFonts w:hint="eastAsia" w:ascii="仿宋_GB2312" w:hAnsi="仿宋_GB2312" w:eastAsia="仿宋_GB2312" w:cs="仿宋_GB2312"/>
                <w:color w:val="000000"/>
                <w:kern w:val="0"/>
                <w:sz w:val="21"/>
                <w:szCs w:val="21"/>
                <w:lang w:eastAsia="zh-CN"/>
              </w:rPr>
              <w:t>上一年</w:t>
            </w:r>
            <w:r>
              <w:rPr>
                <w:rFonts w:hint="eastAsia" w:ascii="仿宋_GB2312" w:hAnsi="仿宋_GB2312" w:eastAsia="仿宋_GB2312" w:cs="仿宋_GB2312"/>
                <w:color w:val="000000"/>
                <w:kern w:val="0"/>
                <w:sz w:val="21"/>
                <w:szCs w:val="21"/>
              </w:rPr>
              <w:t>相比保持稳定或持续改善</w:t>
            </w:r>
            <w:r>
              <w:rPr>
                <w:rFonts w:hint="eastAsia" w:ascii="仿宋_GB2312" w:hAnsi="仿宋_GB2312" w:eastAsia="仿宋_GB2312" w:cs="仿宋_GB2312"/>
                <w:color w:val="000000"/>
                <w:kern w:val="0"/>
                <w:sz w:val="21"/>
                <w:szCs w:val="21"/>
                <w:lang w:eastAsia="zh-CN"/>
              </w:rPr>
              <w:t>；</w:t>
            </w:r>
          </w:p>
          <w:p>
            <w:pPr>
              <w:numPr>
                <w:ilvl w:val="0"/>
                <w:numId w:val="0"/>
              </w:num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2.无机氮和活性磷酸盐浓度年度均值在二类以上的或不高于上一年水平的。</w:t>
            </w:r>
          </w:p>
        </w:tc>
        <w:tc>
          <w:tcPr>
            <w:tcW w:w="34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必选项</w:t>
            </w:r>
          </w:p>
        </w:tc>
        <w:tc>
          <w:tcPr>
            <w:tcW w:w="409"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1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6"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333"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271"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海水感观状况</w:t>
            </w:r>
          </w:p>
        </w:tc>
        <w:tc>
          <w:tcPr>
            <w:tcW w:w="1610" w:type="pct"/>
            <w:tcBorders>
              <w:bottom w:val="single" w:color="auto" w:sz="8" w:space="0"/>
            </w:tcBorders>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指海水是否出现异色、异臭、异味等异常情况。</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依据《海洋监测规范 海水分析》（HY 17378.4-2007）等开展现场调查监测，结合和公众抽样调查等信息，了解海湾水体色、臭、味异常情况。</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w:t>
            </w:r>
          </w:p>
        </w:tc>
        <w:tc>
          <w:tcPr>
            <w:tcW w:w="925"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海湾水体无色、臭、味等影响公众感官体验的异常情况。</w:t>
            </w:r>
          </w:p>
        </w:tc>
        <w:tc>
          <w:tcPr>
            <w:tcW w:w="34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必选项</w:t>
            </w:r>
          </w:p>
        </w:tc>
        <w:tc>
          <w:tcPr>
            <w:tcW w:w="409"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1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333"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271" w:type="pct"/>
            <w:vMerge w:val="restart"/>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入海污染</w:t>
            </w:r>
          </w:p>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源状况</w:t>
            </w: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入海河流断面水质</w:t>
            </w:r>
          </w:p>
          <w:p>
            <w:pPr>
              <w:jc w:val="center"/>
              <w:rPr>
                <w:rFonts w:hint="eastAsia" w:ascii="仿宋_GB2312" w:hAnsi="仿宋_GB2312" w:eastAsia="仿宋_GB2312" w:cs="仿宋_GB2312"/>
                <w:color w:val="FF0000"/>
                <w:kern w:val="0"/>
                <w:sz w:val="21"/>
                <w:szCs w:val="21"/>
              </w:rPr>
            </w:pPr>
            <w:r>
              <w:rPr>
                <w:rFonts w:hint="eastAsia" w:ascii="仿宋_GB2312" w:hAnsi="仿宋_GB2312" w:eastAsia="仿宋_GB2312" w:cs="仿宋_GB2312"/>
                <w:color w:val="auto"/>
                <w:kern w:val="0"/>
                <w:sz w:val="21"/>
                <w:szCs w:val="21"/>
              </w:rPr>
              <w:t>达标率</w:t>
            </w:r>
          </w:p>
        </w:tc>
        <w:tc>
          <w:tcPr>
            <w:tcW w:w="1610" w:type="pct"/>
            <w:tcBorders>
              <w:bottom w:val="single" w:color="auto" w:sz="8" w:space="0"/>
            </w:tcBorders>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指入海河流断面中水质</w:t>
            </w:r>
            <w:r>
              <w:rPr>
                <w:rFonts w:hint="eastAsia" w:ascii="仿宋_GB2312" w:hAnsi="仿宋_GB2312" w:eastAsia="仿宋_GB2312" w:cs="仿宋_GB2312"/>
                <w:color w:val="000000"/>
                <w:kern w:val="0"/>
                <w:sz w:val="21"/>
                <w:szCs w:val="21"/>
                <w:lang w:eastAsia="zh-CN"/>
              </w:rPr>
              <w:t>达到省级考核要求</w:t>
            </w:r>
            <w:r>
              <w:rPr>
                <w:rFonts w:hint="eastAsia" w:ascii="仿宋_GB2312" w:hAnsi="仿宋_GB2312" w:eastAsia="仿宋_GB2312" w:cs="仿宋_GB2312"/>
                <w:color w:val="000000"/>
                <w:kern w:val="0"/>
                <w:sz w:val="21"/>
                <w:szCs w:val="21"/>
              </w:rPr>
              <w:t>的断面占比，评估对象包括入海河流</w:t>
            </w:r>
            <w:r>
              <w:rPr>
                <w:rFonts w:hint="eastAsia" w:ascii="仿宋_GB2312" w:hAnsi="仿宋_GB2312" w:eastAsia="仿宋_GB2312" w:cs="仿宋_GB2312"/>
                <w:color w:val="000000"/>
                <w:kern w:val="0"/>
                <w:sz w:val="21"/>
                <w:szCs w:val="21"/>
                <w:lang w:eastAsia="zh-CN"/>
              </w:rPr>
              <w:t>最后一个国控或省控</w:t>
            </w:r>
            <w:r>
              <w:rPr>
                <w:rFonts w:hint="eastAsia" w:ascii="仿宋_GB2312" w:hAnsi="仿宋_GB2312" w:eastAsia="仿宋_GB2312" w:cs="仿宋_GB2312"/>
                <w:color w:val="000000"/>
                <w:kern w:val="0"/>
                <w:sz w:val="21"/>
                <w:szCs w:val="21"/>
              </w:rPr>
              <w:t>断面</w:t>
            </w:r>
            <w:r>
              <w:rPr>
                <w:rFonts w:hint="eastAsia" w:ascii="仿宋_GB2312" w:hAnsi="仿宋_GB2312" w:eastAsia="仿宋_GB2312" w:cs="仿宋_GB2312"/>
                <w:color w:val="000000"/>
                <w:kern w:val="0"/>
                <w:sz w:val="21"/>
                <w:szCs w:val="21"/>
                <w:lang w:eastAsia="zh-CN"/>
              </w:rPr>
              <w:t>以及海洋督察和中央环保督察涉及的城镇雨洪排口、入海沟渠、入海河流监测点位</w:t>
            </w:r>
            <w:r>
              <w:rPr>
                <w:rFonts w:hint="eastAsia" w:ascii="仿宋_GB2312" w:hAnsi="仿宋_GB2312" w:eastAsia="仿宋_GB2312" w:cs="仿宋_GB2312"/>
                <w:color w:val="000000"/>
                <w:kern w:val="0"/>
                <w:sz w:val="21"/>
                <w:szCs w:val="21"/>
              </w:rPr>
              <w:t>。</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入海河流断面水质达标率（%）=水质</w:t>
            </w:r>
            <w:r>
              <w:rPr>
                <w:rFonts w:hint="eastAsia" w:ascii="仿宋_GB2312" w:hAnsi="仿宋_GB2312" w:eastAsia="仿宋_GB2312" w:cs="仿宋_GB2312"/>
                <w:color w:val="000000"/>
                <w:kern w:val="0"/>
                <w:sz w:val="21"/>
                <w:szCs w:val="21"/>
                <w:lang w:eastAsia="zh-CN"/>
              </w:rPr>
              <w:t>达到省级考核要求</w:t>
            </w:r>
            <w:r>
              <w:rPr>
                <w:rFonts w:hint="eastAsia" w:ascii="仿宋_GB2312" w:hAnsi="仿宋_GB2312" w:eastAsia="仿宋_GB2312" w:cs="仿宋_GB2312"/>
                <w:color w:val="000000"/>
                <w:kern w:val="0"/>
                <w:sz w:val="21"/>
                <w:szCs w:val="21"/>
              </w:rPr>
              <w:t>的入海河流断面的数量÷海湾入海河流断面的总数量×100%。</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w:t>
            </w:r>
          </w:p>
        </w:tc>
        <w:tc>
          <w:tcPr>
            <w:tcW w:w="925"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100%</w:t>
            </w:r>
          </w:p>
        </w:tc>
        <w:tc>
          <w:tcPr>
            <w:tcW w:w="1161" w:type="pct"/>
            <w:gridSpan w:val="3"/>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67"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333"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271"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FF0000"/>
                <w:kern w:val="0"/>
                <w:sz w:val="21"/>
                <w:szCs w:val="21"/>
              </w:rPr>
            </w:pPr>
            <w:r>
              <w:rPr>
                <w:rFonts w:hint="eastAsia" w:ascii="仿宋_GB2312" w:hAnsi="仿宋_GB2312" w:eastAsia="仿宋_GB2312" w:cs="仿宋_GB2312"/>
                <w:color w:val="000000"/>
                <w:kern w:val="0"/>
                <w:sz w:val="21"/>
                <w:szCs w:val="21"/>
              </w:rPr>
              <w:t>入海排污口达标排放率</w:t>
            </w:r>
          </w:p>
        </w:tc>
        <w:tc>
          <w:tcPr>
            <w:tcW w:w="1610" w:type="pct"/>
            <w:tcBorders>
              <w:bottom w:val="single" w:color="auto" w:sz="8" w:space="0"/>
            </w:tcBorders>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指按照不同类型排污口的</w:t>
            </w:r>
            <w:r>
              <w:rPr>
                <w:rFonts w:hint="eastAsia" w:ascii="仿宋_GB2312" w:hAnsi="仿宋_GB2312" w:eastAsia="仿宋_GB2312" w:cs="仿宋_GB2312"/>
                <w:color w:val="000000"/>
                <w:kern w:val="0"/>
                <w:sz w:val="21"/>
                <w:szCs w:val="21"/>
                <w:lang w:eastAsia="zh-CN"/>
              </w:rPr>
              <w:t>整治</w:t>
            </w:r>
            <w:r>
              <w:rPr>
                <w:rFonts w:hint="eastAsia" w:ascii="仿宋_GB2312" w:hAnsi="仿宋_GB2312" w:eastAsia="仿宋_GB2312" w:cs="仿宋_GB2312"/>
                <w:color w:val="000000"/>
                <w:kern w:val="0"/>
                <w:sz w:val="21"/>
                <w:szCs w:val="21"/>
              </w:rPr>
              <w:t>标准，海湾内入海排污口中</w:t>
            </w:r>
            <w:r>
              <w:rPr>
                <w:rFonts w:hint="eastAsia" w:ascii="仿宋_GB2312" w:hAnsi="仿宋_GB2312" w:eastAsia="仿宋_GB2312" w:cs="仿宋_GB2312"/>
                <w:color w:val="000000"/>
                <w:kern w:val="0"/>
                <w:sz w:val="21"/>
                <w:szCs w:val="21"/>
                <w:lang w:eastAsia="zh-CN"/>
              </w:rPr>
              <w:t>达到整治要求</w:t>
            </w:r>
            <w:r>
              <w:rPr>
                <w:rFonts w:hint="eastAsia" w:ascii="仿宋_GB2312" w:hAnsi="仿宋_GB2312" w:eastAsia="仿宋_GB2312" w:cs="仿宋_GB2312"/>
                <w:color w:val="000000"/>
                <w:kern w:val="0"/>
                <w:sz w:val="21"/>
                <w:szCs w:val="21"/>
              </w:rPr>
              <w:t>的比例，评估对象包括工业企业、城镇污水处理厂</w:t>
            </w:r>
            <w:r>
              <w:rPr>
                <w:rFonts w:hint="eastAsia" w:ascii="仿宋_GB2312" w:hAnsi="仿宋_GB2312" w:eastAsia="仿宋_GB2312" w:cs="仿宋_GB2312"/>
                <w:color w:val="000000"/>
                <w:kern w:val="0"/>
                <w:sz w:val="21"/>
                <w:szCs w:val="21"/>
                <w:lang w:eastAsia="zh-CN"/>
              </w:rPr>
              <w:t>、农业排口以及其他排口</w:t>
            </w:r>
            <w:r>
              <w:rPr>
                <w:rFonts w:hint="eastAsia" w:ascii="仿宋_GB2312" w:hAnsi="仿宋_GB2312" w:eastAsia="仿宋_GB2312" w:cs="仿宋_GB2312"/>
                <w:color w:val="000000"/>
                <w:kern w:val="0"/>
                <w:sz w:val="21"/>
                <w:szCs w:val="21"/>
              </w:rPr>
              <w:t>的入海排污口。</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入海排污口达标排放率（%）=达标排放的入海排污口数量÷海湾入海排污口总数量×100%。</w:t>
            </w:r>
            <w:r>
              <w:rPr>
                <w:rFonts w:hint="eastAsia" w:ascii="仿宋_GB2312" w:hAnsi="仿宋_GB2312" w:eastAsia="仿宋_GB2312" w:cs="仿宋_GB2312"/>
                <w:color w:val="000000"/>
                <w:kern w:val="0"/>
                <w:sz w:val="21"/>
                <w:szCs w:val="21"/>
                <w:lang w:eastAsia="zh-CN"/>
              </w:rPr>
              <w:t>其中入海排污口整治后</w:t>
            </w:r>
            <w:r>
              <w:rPr>
                <w:rFonts w:hint="eastAsia" w:ascii="仿宋_GB2312" w:hAnsi="仿宋_GB2312" w:eastAsia="仿宋_GB2312" w:cs="仿宋_GB2312"/>
                <w:b w:val="0"/>
                <w:bCs w:val="0"/>
                <w:color w:val="000000"/>
                <w:kern w:val="0"/>
                <w:sz w:val="21"/>
                <w:szCs w:val="21"/>
                <w:lang w:eastAsia="zh-CN"/>
              </w:rPr>
              <w:t>符合</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福建省人民政府办公厅关于印发</w:t>
            </w:r>
            <w:r>
              <w:rPr>
                <w:rFonts w:hint="eastAsia" w:ascii="仿宋_GB2312" w:hAnsi="仿宋_GB2312" w:eastAsia="仿宋_GB2312" w:cs="仿宋_GB2312"/>
                <w:color w:val="000000"/>
                <w:kern w:val="0"/>
                <w:sz w:val="21"/>
                <w:szCs w:val="21"/>
              </w:rPr>
              <w:t>加强入河入海排污口监督管理工作</w:t>
            </w:r>
            <w:r>
              <w:rPr>
                <w:rFonts w:hint="eastAsia" w:ascii="仿宋_GB2312" w:hAnsi="仿宋_GB2312" w:eastAsia="仿宋_GB2312" w:cs="仿宋_GB2312"/>
                <w:color w:val="000000"/>
                <w:kern w:val="0"/>
                <w:sz w:val="21"/>
                <w:szCs w:val="21"/>
                <w:lang w:eastAsia="zh-CN"/>
              </w:rPr>
              <w:t>方案的通知</w:t>
            </w: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eastAsia="zh-CN"/>
              </w:rPr>
              <w:t>闽政办</w:t>
            </w:r>
            <w:r>
              <w:rPr>
                <w:rFonts w:hint="eastAsia" w:ascii="仿宋_GB2312" w:hAnsi="仿宋_GB2312" w:eastAsia="仿宋_GB2312" w:cs="仿宋_GB2312"/>
                <w:color w:val="000000"/>
                <w:kern w:val="0"/>
                <w:sz w:val="21"/>
                <w:szCs w:val="21"/>
              </w:rPr>
              <w:t>〔2022〕</w:t>
            </w:r>
            <w:r>
              <w:rPr>
                <w:rFonts w:hint="eastAsia" w:ascii="仿宋_GB2312" w:hAnsi="仿宋_GB2312" w:eastAsia="仿宋_GB2312" w:cs="仿宋_GB2312"/>
                <w:color w:val="000000"/>
                <w:kern w:val="0"/>
                <w:sz w:val="21"/>
                <w:szCs w:val="21"/>
                <w:lang w:val="en-US" w:eastAsia="zh-CN"/>
              </w:rPr>
              <w:t>43</w:t>
            </w:r>
            <w:r>
              <w:rPr>
                <w:rFonts w:hint="eastAsia" w:ascii="仿宋_GB2312" w:hAnsi="仿宋_GB2312" w:eastAsia="仿宋_GB2312" w:cs="仿宋_GB2312"/>
                <w:color w:val="000000"/>
                <w:kern w:val="0"/>
                <w:sz w:val="21"/>
                <w:szCs w:val="21"/>
              </w:rPr>
              <w:t>号）</w:t>
            </w:r>
            <w:r>
              <w:rPr>
                <w:rFonts w:hint="eastAsia" w:ascii="仿宋_GB2312" w:hAnsi="仿宋_GB2312" w:eastAsia="仿宋_GB2312" w:cs="仿宋_GB2312"/>
                <w:color w:val="000000"/>
                <w:kern w:val="0"/>
                <w:sz w:val="21"/>
                <w:szCs w:val="21"/>
                <w:lang w:eastAsia="zh-CN"/>
              </w:rPr>
              <w:t>相关要求的，视为达标。</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w:t>
            </w:r>
          </w:p>
        </w:tc>
        <w:tc>
          <w:tcPr>
            <w:tcW w:w="925"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100%</w:t>
            </w:r>
          </w:p>
        </w:tc>
        <w:tc>
          <w:tcPr>
            <w:tcW w:w="1161" w:type="pct"/>
            <w:gridSpan w:val="3"/>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atLeast"/>
        </w:trPr>
        <w:tc>
          <w:tcPr>
            <w:tcW w:w="25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333" w:type="pct"/>
            <w:vMerge w:val="continue"/>
            <w:noWrap w:val="0"/>
            <w:vAlign w:val="center"/>
          </w:tcPr>
          <w:p>
            <w:pPr>
              <w:jc w:val="left"/>
              <w:rPr>
                <w:rFonts w:hint="eastAsia" w:ascii="仿宋_GB2312" w:hAnsi="仿宋_GB2312" w:eastAsia="仿宋_GB2312" w:cs="仿宋_GB2312"/>
                <w:color w:val="000000"/>
                <w:kern w:val="0"/>
                <w:sz w:val="21"/>
                <w:szCs w:val="21"/>
              </w:rPr>
            </w:pPr>
          </w:p>
        </w:tc>
        <w:tc>
          <w:tcPr>
            <w:tcW w:w="271" w:type="pct"/>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岸滩环境</w:t>
            </w:r>
          </w:p>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质量状况</w:t>
            </w:r>
          </w:p>
        </w:tc>
        <w:tc>
          <w:tcPr>
            <w:tcW w:w="43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岸滩和海漂垃圾状况</w:t>
            </w:r>
          </w:p>
        </w:tc>
        <w:tc>
          <w:tcPr>
            <w:tcW w:w="1610" w:type="pct"/>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指在岸滩及毗邻浅水区具有持久性的、人造或加工后被丢弃的固体垃圾。</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依据我省海漂垃圾无人机航拍监测，统计海漂垃圾分布密度</w:t>
            </w:r>
            <w:r>
              <w:rPr>
                <w:rFonts w:hint="eastAsia" w:ascii="仿宋_GB2312" w:hAnsi="仿宋_GB2312" w:eastAsia="仿宋_GB2312" w:cs="仿宋_GB2312"/>
                <w:color w:val="000000"/>
                <w:kern w:val="0"/>
                <w:sz w:val="21"/>
                <w:szCs w:val="21"/>
                <w:lang w:eastAsia="zh-CN"/>
              </w:rPr>
              <w:t>或覆盖度</w:t>
            </w:r>
            <w:r>
              <w:rPr>
                <w:rFonts w:hint="eastAsia" w:ascii="仿宋_GB2312" w:hAnsi="仿宋_GB2312" w:eastAsia="仿宋_GB2312" w:cs="仿宋_GB2312"/>
                <w:color w:val="000000"/>
                <w:kern w:val="0"/>
                <w:sz w:val="21"/>
                <w:szCs w:val="21"/>
              </w:rPr>
              <w:t>。</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w:t>
            </w:r>
          </w:p>
        </w:tc>
        <w:tc>
          <w:tcPr>
            <w:tcW w:w="925" w:type="pct"/>
            <w:noWrap w:val="0"/>
            <w:vAlign w:val="center"/>
          </w:tcPr>
          <w:p>
            <w:pPr>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海漂垃圾分布密度小于</w:t>
            </w:r>
            <w:r>
              <w:rPr>
                <w:rFonts w:hint="eastAsia" w:ascii="仿宋_GB2312" w:hAnsi="仿宋_GB2312" w:eastAsia="仿宋_GB2312" w:cs="仿宋_GB2312"/>
                <w:color w:val="000000"/>
                <w:kern w:val="0"/>
                <w:sz w:val="21"/>
                <w:szCs w:val="21"/>
                <w:lang w:val="en-US" w:eastAsia="zh-CN"/>
              </w:rPr>
              <w:t>200</w:t>
            </w:r>
            <w:r>
              <w:rPr>
                <w:rFonts w:hint="eastAsia" w:ascii="仿宋_GB2312" w:hAnsi="仿宋_GB2312" w:eastAsia="仿宋_GB2312" w:cs="仿宋_GB2312"/>
                <w:color w:val="000000"/>
                <w:kern w:val="0"/>
                <w:sz w:val="21"/>
                <w:szCs w:val="21"/>
              </w:rPr>
              <w:t>平方米/千米</w:t>
            </w:r>
            <w:r>
              <w:rPr>
                <w:rFonts w:hint="eastAsia" w:ascii="仿宋_GB2312" w:hAnsi="仿宋_GB2312" w:eastAsia="仿宋_GB2312" w:cs="仿宋_GB2312"/>
                <w:color w:val="000000"/>
                <w:kern w:val="0"/>
                <w:sz w:val="21"/>
                <w:szCs w:val="21"/>
                <w:lang w:eastAsia="zh-CN"/>
              </w:rPr>
              <w:t>或覆盖度小于</w:t>
            </w:r>
            <w:r>
              <w:rPr>
                <w:rFonts w:hint="eastAsia" w:ascii="仿宋_GB2312" w:hAnsi="仿宋_GB2312" w:eastAsia="仿宋_GB2312" w:cs="仿宋_GB2312"/>
                <w:color w:val="000000"/>
                <w:kern w:val="0"/>
                <w:sz w:val="21"/>
                <w:szCs w:val="21"/>
                <w:lang w:val="en-US" w:eastAsia="zh-CN"/>
              </w:rPr>
              <w:t>500</w:t>
            </w:r>
            <w:r>
              <w:rPr>
                <w:rFonts w:hint="eastAsia" w:ascii="仿宋_GB2312" w:hAnsi="仿宋_GB2312" w:eastAsia="仿宋_GB2312" w:cs="仿宋_GB2312"/>
                <w:color w:val="000000"/>
                <w:kern w:val="0"/>
                <w:sz w:val="21"/>
                <w:szCs w:val="21"/>
              </w:rPr>
              <w:t>平方米/</w:t>
            </w:r>
            <w:r>
              <w:rPr>
                <w:rFonts w:hint="eastAsia" w:ascii="仿宋_GB2312" w:hAnsi="仿宋_GB2312" w:eastAsia="仿宋_GB2312" w:cs="仿宋_GB2312"/>
                <w:color w:val="000000"/>
                <w:kern w:val="0"/>
                <w:sz w:val="21"/>
                <w:szCs w:val="21"/>
                <w:lang w:eastAsia="zh-CN"/>
              </w:rPr>
              <w:t>平方</w:t>
            </w:r>
            <w:r>
              <w:rPr>
                <w:rFonts w:hint="eastAsia" w:ascii="仿宋_GB2312" w:hAnsi="仿宋_GB2312" w:eastAsia="仿宋_GB2312" w:cs="仿宋_GB2312"/>
                <w:color w:val="000000"/>
                <w:kern w:val="0"/>
                <w:sz w:val="21"/>
                <w:szCs w:val="21"/>
              </w:rPr>
              <w:t>千米，重点岸段无明显可见垃圾。</w:t>
            </w:r>
          </w:p>
        </w:tc>
        <w:tc>
          <w:tcPr>
            <w:tcW w:w="1161" w:type="pct"/>
            <w:gridSpan w:val="3"/>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4" w:hRule="atLeast"/>
        </w:trPr>
        <w:tc>
          <w:tcPr>
            <w:tcW w:w="25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333" w:type="pct"/>
            <w:vMerge w:val="restar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鱼鸥</w:t>
            </w:r>
          </w:p>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翔集</w:t>
            </w:r>
          </w:p>
        </w:tc>
        <w:tc>
          <w:tcPr>
            <w:tcW w:w="271" w:type="pct"/>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海洋生物</w:t>
            </w:r>
          </w:p>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状况</w:t>
            </w:r>
          </w:p>
        </w:tc>
        <w:tc>
          <w:tcPr>
            <w:tcW w:w="43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重要海洋生物保护情况</w:t>
            </w:r>
          </w:p>
        </w:tc>
        <w:tc>
          <w:tcPr>
            <w:tcW w:w="1610" w:type="pct"/>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列入《国家重点保护野生动物名录》《世界自然保护联盟濒危物种红色名录（IUCN红色名录）》等珍稀、濒危海洋生物保护养护情况；海湾本地关键物种（含重要海洋渔业经济生物）保护养护以及恢复情况；列入国家重点管理外来物种名录</w:t>
            </w:r>
            <w:r>
              <w:rPr>
                <w:rFonts w:hint="eastAsia" w:ascii="仿宋_GB2312" w:hAnsi="仿宋_GB2312" w:eastAsia="仿宋_GB2312" w:cs="仿宋_GB2312"/>
                <w:color w:val="000000"/>
                <w:kern w:val="0"/>
                <w:sz w:val="21"/>
                <w:szCs w:val="21"/>
                <w:lang w:eastAsia="zh-CN"/>
              </w:rPr>
              <w:t>的互花米草</w:t>
            </w:r>
            <w:r>
              <w:rPr>
                <w:rFonts w:hint="eastAsia" w:ascii="仿宋_GB2312" w:hAnsi="仿宋_GB2312" w:eastAsia="仿宋_GB2312" w:cs="仿宋_GB2312"/>
                <w:color w:val="000000"/>
                <w:kern w:val="0"/>
                <w:sz w:val="21"/>
                <w:szCs w:val="21"/>
              </w:rPr>
              <w:t>等外来物种入侵以及控制情况。</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统计珍稀、濒危海洋生物及典型物种、外来入侵物种生物种群数量或分布面积等数据，判定其较2020年的变化情况。</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农业农村部门、</w:t>
            </w:r>
            <w:r>
              <w:rPr>
                <w:rFonts w:hint="eastAsia" w:ascii="仿宋_GB2312" w:hAnsi="仿宋_GB2312" w:eastAsia="仿宋_GB2312" w:cs="仿宋_GB2312"/>
                <w:color w:val="000000"/>
                <w:kern w:val="0"/>
                <w:sz w:val="21"/>
                <w:szCs w:val="21"/>
                <w:lang w:eastAsia="zh-CN"/>
              </w:rPr>
              <w:t>林业部门、</w:t>
            </w:r>
            <w:r>
              <w:rPr>
                <w:rFonts w:hint="eastAsia" w:ascii="仿宋_GB2312" w:hAnsi="仿宋_GB2312" w:eastAsia="仿宋_GB2312" w:cs="仿宋_GB2312"/>
                <w:color w:val="000000"/>
                <w:kern w:val="0"/>
                <w:sz w:val="21"/>
                <w:szCs w:val="21"/>
              </w:rPr>
              <w:t>生态环境部门。</w:t>
            </w:r>
          </w:p>
        </w:tc>
        <w:tc>
          <w:tcPr>
            <w:tcW w:w="925"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珍贵、濒危生物或本地关键物种及种群数量稳定；外来入侵物种分布范围得到控制。</w:t>
            </w:r>
          </w:p>
        </w:tc>
        <w:tc>
          <w:tcPr>
            <w:tcW w:w="341"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09"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必选项</w:t>
            </w:r>
          </w:p>
        </w:tc>
        <w:tc>
          <w:tcPr>
            <w:tcW w:w="411"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333"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271" w:type="pct"/>
            <w:tcBorders>
              <w:bottom w:val="single" w:color="auto" w:sz="8" w:space="0"/>
            </w:tcBorders>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海洋生态系统状况</w:t>
            </w: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滨海湿地和自然岸线保护情况</w:t>
            </w:r>
          </w:p>
        </w:tc>
        <w:tc>
          <w:tcPr>
            <w:tcW w:w="1610" w:type="pct"/>
            <w:tcBorders>
              <w:bottom w:val="single" w:color="auto" w:sz="8" w:space="0"/>
            </w:tcBorders>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海湾范围内重要滨海湿地、自然岸线等是否纳入海洋生态保护红线管控范畴并实施有效保护和恢复修复；区域内珊瑚礁、红树林、海草床等典型海洋生态系统的健康状况。</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统计海湾内重要滨海湿地、自然岸线等是否纳入海洋生态保护红线及其面积、长度、功能、性质等数据，判定其较2020年的变化情况；涉及珊瑚礁、红树林、海草床等典型海洋生态系统的，依照《近岸海洋生态健康评价指南》（HY/T 087-2005）开展生态健康评价。</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生态环境部门、自然资源部门</w:t>
            </w:r>
            <w:r>
              <w:rPr>
                <w:rFonts w:hint="eastAsia" w:ascii="仿宋_GB2312" w:hAnsi="仿宋_GB2312" w:eastAsia="仿宋_GB2312" w:cs="仿宋_GB2312"/>
                <w:color w:val="000000"/>
                <w:kern w:val="0"/>
                <w:sz w:val="21"/>
                <w:szCs w:val="21"/>
                <w:lang w:eastAsia="zh-CN"/>
              </w:rPr>
              <w:t>、林业部门</w:t>
            </w:r>
            <w:r>
              <w:rPr>
                <w:rFonts w:hint="eastAsia" w:ascii="仿宋_GB2312" w:hAnsi="仿宋_GB2312" w:eastAsia="仿宋_GB2312" w:cs="仿宋_GB2312"/>
                <w:color w:val="000000"/>
                <w:kern w:val="0"/>
                <w:sz w:val="21"/>
                <w:szCs w:val="21"/>
              </w:rPr>
              <w:t>。</w:t>
            </w:r>
          </w:p>
        </w:tc>
        <w:tc>
          <w:tcPr>
            <w:tcW w:w="925"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重要滨海湿地、自然岸线等纳入海洋生态保护红线范畴，且重要滨海湿地面积和自然岸线长度不减少、功能不降低、性质不改变；典型海洋生态系统无“不健康”等级，且健康状况保持稳定或持续改善。</w:t>
            </w:r>
          </w:p>
        </w:tc>
        <w:tc>
          <w:tcPr>
            <w:tcW w:w="34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09"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必选项</w:t>
            </w:r>
          </w:p>
        </w:tc>
        <w:tc>
          <w:tcPr>
            <w:tcW w:w="41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6" w:hRule="atLeast"/>
        </w:trPr>
        <w:tc>
          <w:tcPr>
            <w:tcW w:w="25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333" w:type="pct"/>
            <w:vMerge w:val="restar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人海</w:t>
            </w:r>
          </w:p>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和谐</w:t>
            </w:r>
          </w:p>
        </w:tc>
        <w:tc>
          <w:tcPr>
            <w:tcW w:w="271" w:type="pct"/>
            <w:vMerge w:val="restart"/>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亲海环境</w:t>
            </w:r>
          </w:p>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质量状况</w:t>
            </w:r>
          </w:p>
        </w:tc>
        <w:tc>
          <w:tcPr>
            <w:tcW w:w="43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公众亲海岸线比例</w:t>
            </w:r>
          </w:p>
        </w:tc>
        <w:tc>
          <w:tcPr>
            <w:tcW w:w="1610" w:type="pct"/>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指海湾内生态空间优良、适宜开展滨海旅游休闲活动且向社会公众开放的亲海岸线比例。</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公众亲海岸线比例（%）=公众亲海岸线长度÷海湾岸线总长度×100%。</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自然资源部门、文化和旅游部门。</w:t>
            </w:r>
          </w:p>
        </w:tc>
        <w:tc>
          <w:tcPr>
            <w:tcW w:w="925"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在保护好岸线生态功能的基础上，公众亲海岸线比例保持稳定或持续增加。</w:t>
            </w:r>
          </w:p>
        </w:tc>
        <w:tc>
          <w:tcPr>
            <w:tcW w:w="341"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09"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11"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必选项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8"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333"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271" w:type="pct"/>
            <w:vMerge w:val="continue"/>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海水浴场和滨海旅游度假区环境状况</w:t>
            </w:r>
          </w:p>
        </w:tc>
        <w:tc>
          <w:tcPr>
            <w:tcW w:w="1610" w:type="pct"/>
            <w:tcBorders>
              <w:bottom w:val="single" w:color="auto" w:sz="8" w:space="0"/>
            </w:tcBorders>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指海湾内海水浴场和滨海旅游度假区环境状况对于社会公众开展亲海戏水相关活动的适宜程度。</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参照《海水浴场监测与评价指南》（HY/T 0276-2019）和《滨海旅游度假区环境评价指南》（HY/T 127-2010），评价海水浴场和滨海旅游度假区环境状况。</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生态环境部门。</w:t>
            </w:r>
          </w:p>
        </w:tc>
        <w:tc>
          <w:tcPr>
            <w:tcW w:w="925"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年度海水浴场环境优良天数比例大于90%，滨海旅游度假区环境状况适宜开展亲海活动。</w:t>
            </w:r>
          </w:p>
        </w:tc>
        <w:tc>
          <w:tcPr>
            <w:tcW w:w="34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09"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c>
          <w:tcPr>
            <w:tcW w:w="41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必选项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1" w:hRule="atLeast"/>
        </w:trPr>
        <w:tc>
          <w:tcPr>
            <w:tcW w:w="25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333" w:type="pct"/>
            <w:vMerge w:val="continue"/>
            <w:tcBorders>
              <w:bottom w:val="single" w:color="auto" w:sz="8" w:space="0"/>
            </w:tcBorders>
            <w:noWrap w:val="0"/>
            <w:vAlign w:val="center"/>
          </w:tcPr>
          <w:p>
            <w:pPr>
              <w:jc w:val="left"/>
              <w:rPr>
                <w:rFonts w:hint="eastAsia" w:ascii="仿宋_GB2312" w:hAnsi="仿宋_GB2312" w:eastAsia="仿宋_GB2312" w:cs="仿宋_GB2312"/>
                <w:color w:val="000000"/>
                <w:kern w:val="0"/>
                <w:sz w:val="21"/>
                <w:szCs w:val="21"/>
              </w:rPr>
            </w:pPr>
          </w:p>
        </w:tc>
        <w:tc>
          <w:tcPr>
            <w:tcW w:w="271" w:type="pct"/>
            <w:vMerge w:val="continue"/>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p>
        </w:tc>
        <w:tc>
          <w:tcPr>
            <w:tcW w:w="439" w:type="pct"/>
            <w:tcBorders>
              <w:bottom w:val="single" w:color="auto" w:sz="8" w:space="0"/>
            </w:tcBorders>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亲海空间建设情况</w:t>
            </w:r>
          </w:p>
        </w:tc>
        <w:tc>
          <w:tcPr>
            <w:tcW w:w="1610" w:type="pct"/>
            <w:tcBorders>
              <w:bottom w:val="single" w:color="auto" w:sz="8" w:space="0"/>
            </w:tcBorders>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指海湾内或临近陆域范围内建设的亲海空间数量，包括滨海湿地公园、海洋公园、地质公园、海滩、旅游区、具备滨海游憩功能的保护地。</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计算海湾内或临近陆域范围内建设的滨海湿地公园、海洋公园、地质公园、海滩、旅游区、具备滨海游憩功能的保护地的数量。</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color w:val="000000"/>
                <w:kern w:val="0"/>
                <w:sz w:val="21"/>
                <w:szCs w:val="21"/>
              </w:rPr>
              <w:t>文化旅游部门、生态环境部门</w:t>
            </w:r>
          </w:p>
        </w:tc>
        <w:tc>
          <w:tcPr>
            <w:tcW w:w="925"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亲海休闲型“美丽海湾”建设不少于3处亲海空间，其它类型“美丽海湾”不做要求。</w:t>
            </w:r>
          </w:p>
        </w:tc>
        <w:tc>
          <w:tcPr>
            <w:tcW w:w="34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409"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411" w:type="pct"/>
            <w:tcBorders>
              <w:bottom w:val="single" w:color="auto" w:sz="8" w:space="0"/>
            </w:tcBorders>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可选项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3" w:hRule="atLeast"/>
        </w:trPr>
        <w:tc>
          <w:tcPr>
            <w:tcW w:w="25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333" w:type="pct"/>
            <w:vMerge w:val="continue"/>
            <w:noWrap w:val="0"/>
            <w:vAlign w:val="center"/>
          </w:tcPr>
          <w:p>
            <w:pPr>
              <w:jc w:val="left"/>
              <w:rPr>
                <w:rFonts w:hint="eastAsia" w:ascii="仿宋_GB2312" w:hAnsi="仿宋_GB2312" w:eastAsia="仿宋_GB2312" w:cs="仿宋_GB2312"/>
                <w:color w:val="000000"/>
                <w:kern w:val="0"/>
                <w:sz w:val="21"/>
                <w:szCs w:val="21"/>
              </w:rPr>
            </w:pPr>
          </w:p>
        </w:tc>
        <w:tc>
          <w:tcPr>
            <w:tcW w:w="271" w:type="pct"/>
            <w:noWrap w:val="0"/>
            <w:vAlign w:val="center"/>
          </w:tcPr>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群众</w:t>
            </w:r>
          </w:p>
          <w:p>
            <w:pPr>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获得感</w:t>
            </w:r>
          </w:p>
        </w:tc>
        <w:tc>
          <w:tcPr>
            <w:tcW w:w="439" w:type="pct"/>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美丽海湾建设的公众满意度</w:t>
            </w:r>
          </w:p>
        </w:tc>
        <w:tc>
          <w:tcPr>
            <w:tcW w:w="1610" w:type="pct"/>
            <w:noWrap w:val="0"/>
            <w:vAlign w:val="center"/>
          </w:tcPr>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指标解释：</w:t>
            </w:r>
            <w:r>
              <w:rPr>
                <w:rFonts w:hint="eastAsia" w:ascii="仿宋_GB2312" w:hAnsi="仿宋_GB2312" w:eastAsia="仿宋_GB2312" w:cs="仿宋_GB2312"/>
                <w:color w:val="000000"/>
                <w:kern w:val="0"/>
                <w:sz w:val="21"/>
                <w:szCs w:val="21"/>
              </w:rPr>
              <w:t>指公众对美丽海湾建设成效的满意程度。</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计算方法：</w:t>
            </w:r>
            <w:r>
              <w:rPr>
                <w:rFonts w:hint="eastAsia" w:ascii="仿宋_GB2312" w:hAnsi="仿宋_GB2312" w:eastAsia="仿宋_GB2312" w:cs="仿宋_GB2312"/>
                <w:color w:val="000000"/>
                <w:kern w:val="0"/>
                <w:sz w:val="21"/>
                <w:szCs w:val="21"/>
              </w:rPr>
              <w:t>通过问卷抽样调查和舆情分析了解公众对美丽海湾建设成效的满意程度。</w:t>
            </w:r>
          </w:p>
          <w:p>
            <w:pP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数据来源：</w:t>
            </w:r>
            <w:r>
              <w:rPr>
                <w:rFonts w:hint="eastAsia" w:ascii="仿宋_GB2312" w:hAnsi="仿宋_GB2312" w:eastAsia="仿宋_GB2312" w:cs="仿宋_GB2312"/>
                <w:b w:val="0"/>
                <w:bCs w:val="0"/>
                <w:color w:val="000000"/>
                <w:kern w:val="0"/>
                <w:sz w:val="21"/>
                <w:szCs w:val="21"/>
                <w:lang w:eastAsia="zh-CN"/>
              </w:rPr>
              <w:t>由属地县级人民政府组织</w:t>
            </w:r>
            <w:r>
              <w:rPr>
                <w:rFonts w:hint="eastAsia" w:ascii="仿宋_GB2312" w:hAnsi="仿宋_GB2312" w:eastAsia="仿宋_GB2312" w:cs="仿宋_GB2312"/>
                <w:color w:val="000000"/>
                <w:kern w:val="0"/>
                <w:sz w:val="21"/>
                <w:szCs w:val="21"/>
              </w:rPr>
              <w:t>第三方调查。</w:t>
            </w:r>
          </w:p>
        </w:tc>
        <w:tc>
          <w:tcPr>
            <w:tcW w:w="925" w:type="pct"/>
            <w:noWrap w:val="0"/>
            <w:vAlign w:val="center"/>
          </w:tcPr>
          <w:p>
            <w:pP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公众满意度大于95%，且无被核实的负面舆情。</w:t>
            </w:r>
          </w:p>
        </w:tc>
        <w:tc>
          <w:tcPr>
            <w:tcW w:w="1161" w:type="pct"/>
            <w:gridSpan w:val="3"/>
            <w:noWrap w:val="0"/>
            <w:vAlign w:val="center"/>
          </w:tcPr>
          <w:p>
            <w:pPr>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基础项</w:t>
            </w:r>
          </w:p>
        </w:tc>
      </w:tr>
    </w:tbl>
    <w:p>
      <w:pPr>
        <w:spacing w:line="360" w:lineRule="auto"/>
        <w:ind w:left="1050" w:leftChars="200" w:hanging="630" w:hangingChars="300"/>
        <w:rPr>
          <w:rFonts w:hint="eastAsia" w:ascii="楷体_GB2312" w:hAnsi="楷体_GB2312" w:eastAsia="楷体_GB2312" w:cs="楷体_GB2312"/>
          <w:szCs w:val="21"/>
          <w:lang w:eastAsia="zh-CN"/>
        </w:rPr>
      </w:pPr>
      <w:r>
        <w:rPr>
          <w:rFonts w:hint="eastAsia" w:ascii="楷体_GB2312" w:hAnsi="楷体_GB2312" w:eastAsia="楷体_GB2312" w:cs="楷体_GB2312"/>
          <w:szCs w:val="21"/>
        </w:rPr>
        <w:t>注：1.根据各海湾自然禀赋和数据可获得性等，表中如个别指标未有涉及，可出具说明材料明确</w:t>
      </w:r>
      <w:r>
        <w:rPr>
          <w:rFonts w:hint="eastAsia" w:ascii="楷体_GB2312" w:hAnsi="楷体_GB2312" w:eastAsia="楷体_GB2312" w:cs="楷体_GB2312"/>
          <w:szCs w:val="21"/>
          <w:lang w:val="en-US" w:eastAsia="zh-CN"/>
        </w:rPr>
        <w:t xml:space="preserve"> </w:t>
      </w:r>
      <w:r>
        <w:rPr>
          <w:rFonts w:hint="eastAsia" w:ascii="楷体_GB2312" w:hAnsi="楷体_GB2312" w:eastAsia="楷体_GB2312" w:cs="楷体_GB2312"/>
          <w:szCs w:val="21"/>
        </w:rPr>
        <w:t>该项指标不纳入建设内容</w:t>
      </w:r>
      <w:r>
        <w:rPr>
          <w:rFonts w:hint="eastAsia" w:ascii="楷体_GB2312" w:hAnsi="楷体_GB2312" w:eastAsia="楷体_GB2312" w:cs="楷体_GB2312"/>
          <w:szCs w:val="21"/>
          <w:lang w:eastAsia="zh-CN"/>
        </w:rPr>
        <w:t>。</w:t>
      </w:r>
    </w:p>
    <w:p>
      <w:pPr>
        <w:numPr>
          <w:ilvl w:val="0"/>
          <w:numId w:val="0"/>
        </w:numPr>
        <w:spacing w:line="360" w:lineRule="auto"/>
        <w:ind w:firstLine="840" w:firstLineChars="400"/>
        <w:rPr>
          <w:rFonts w:hint="eastAsia" w:ascii="楷体_GB2312" w:hAnsi="楷体_GB2312" w:eastAsia="楷体_GB2312" w:cs="楷体_GB2312"/>
          <w:szCs w:val="21"/>
        </w:rPr>
      </w:pPr>
      <w:r>
        <w:rPr>
          <w:rFonts w:hint="eastAsia" w:ascii="楷体_GB2312" w:hAnsi="楷体_GB2312" w:eastAsia="楷体_GB2312" w:cs="楷体_GB2312"/>
          <w:szCs w:val="21"/>
          <w:lang w:val="en-US" w:eastAsia="zh-CN"/>
        </w:rPr>
        <w:t>2.</w:t>
      </w:r>
      <w:r>
        <w:rPr>
          <w:rFonts w:hint="eastAsia" w:ascii="楷体_GB2312" w:hAnsi="楷体_GB2312" w:eastAsia="楷体_GB2312" w:cs="楷体_GB2312"/>
          <w:szCs w:val="21"/>
        </w:rPr>
        <w:t>按照“因地制宜、各美其美”的原则，鼓励各海湾（湾区）设立特色指标。</w:t>
      </w:r>
    </w:p>
    <w:p>
      <w:pPr>
        <w:ind w:firstLine="848" w:firstLineChars="404"/>
        <w:rPr>
          <w:rFonts w:hint="eastAsia" w:ascii="楷体_GB2312" w:hAnsi="楷体_GB2312" w:eastAsia="楷体_GB2312" w:cs="楷体_GB2312"/>
          <w:szCs w:val="21"/>
        </w:rPr>
        <w:sectPr>
          <w:pgSz w:w="16838" w:h="11906" w:orient="landscape"/>
          <w:pgMar w:top="1800" w:right="1440" w:bottom="1800" w:left="1440" w:header="851" w:footer="992" w:gutter="0"/>
          <w:cols w:space="720" w:num="1"/>
          <w:docGrid w:type="lines" w:linePitch="312" w:charSpace="0"/>
        </w:sectPr>
      </w:pPr>
      <w:r>
        <w:rPr>
          <w:rFonts w:hint="eastAsia" w:ascii="楷体_GB2312" w:hAnsi="楷体_GB2312" w:eastAsia="楷体_GB2312" w:cs="楷体_GB2312"/>
          <w:szCs w:val="21"/>
          <w:lang w:val="en-US" w:eastAsia="zh-CN"/>
        </w:rPr>
        <w:t>3.</w:t>
      </w:r>
      <w:r>
        <w:rPr>
          <w:rFonts w:hint="eastAsia" w:ascii="楷体_GB2312" w:hAnsi="楷体_GB2312" w:eastAsia="楷体_GB2312" w:cs="楷体_GB2312"/>
          <w:szCs w:val="21"/>
        </w:rPr>
        <w:t>指标评估数据选取“美丽海湾”所在区域申报前一年的生态环境数据进行评估。</w:t>
      </w:r>
    </w:p>
    <w:p>
      <w:pPr>
        <w:jc w:val="left"/>
        <w:rPr>
          <w:rFonts w:hint="eastAsia" w:ascii="黑体" w:hAnsi="黑体" w:eastAsia="黑体" w:cs="黑体"/>
          <w:snapToGrid w:val="0"/>
          <w:color w:val="000000"/>
          <w:kern w:val="0"/>
          <w:sz w:val="32"/>
          <w:szCs w:val="24"/>
          <w:lang w:val="en-US" w:eastAsia="zh-CN"/>
        </w:rPr>
      </w:pPr>
      <w:r>
        <w:rPr>
          <w:rFonts w:hint="eastAsia" w:ascii="黑体" w:hAnsi="黑体" w:eastAsia="黑体" w:cs="黑体"/>
          <w:snapToGrid w:val="0"/>
          <w:color w:val="000000"/>
          <w:kern w:val="0"/>
          <w:sz w:val="32"/>
          <w:szCs w:val="24"/>
          <w:lang w:val="en-US" w:eastAsia="zh-CN"/>
        </w:rPr>
        <w:t>附件3</w:t>
      </w:r>
    </w:p>
    <w:p>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 xml:space="preserve"> “美丽海湾”建设方案编制大纲</w:t>
      </w:r>
    </w:p>
    <w:p>
      <w:pPr>
        <w:jc w:val="center"/>
        <w:rPr>
          <w:rFonts w:ascii="华文中宋" w:hAnsi="华文中宋" w:eastAsia="华文中宋" w:cs="华文中宋"/>
          <w:b/>
          <w:bCs/>
          <w:sz w:val="36"/>
          <w:szCs w:val="36"/>
        </w:rPr>
      </w:pP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一、格式</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（一）文本规格</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“美丽海湾”建设方案文本外形尺寸为 A4（210 毫米×297 毫米）。</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（二）封面格式</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“美丽海湾”建设方案报告的封面如下：</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——第一行书写：XXXX“美丽海湾”建设方案（居中）；</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——第二行落款书写：申报单位全称（居中）；</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——第三行书写：XXXX年XX月（居中）；</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——以上内容字体字号应适宜，各行间距应适中，保持封面美观。</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二、内容</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（一）“美丽海湾”概况及建设必要性</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1、“美丽海湾”区位和范围</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2、社会经济情况</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介绍与“美丽海湾”相关的建设地社会经济特征状况。</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3、生态环境状况</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介绍与“美丽海湾”范围内及周边的生态环境现状、存在的主要生态环境问题等。</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4、“美丽海湾”建设的必要性</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（二）建设目标和内容</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1、总体目标和指标</w:t>
      </w:r>
    </w:p>
    <w:p>
      <w:pPr>
        <w:ind w:firstLine="640"/>
        <w:rPr>
          <w:rFonts w:hint="default"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说明“美丽海湾”建设的总体目标、建设类型（产业主导型、生态保育型和亲海休闲型）和“美丽海湾”建设要达到指标要求。整体海湾单元中可以按照自然禀赋和产业结构特点划分2-3个岸段，分别选择不同的类型进行创建，整体海湾类型按占主导地位的海湾类型申报。</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2、主要开展工作</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列出围绕“美丽海湾”总体目标、指标，开展的主要工作内容和规模。</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3、工程技术方案</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工程技术方案宜达到工程可行性研究报告的编制深度要求。主要包括工程规模、工程量、工艺流程、主要设计参数或典型断面、资金投入等。</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4、“美丽海湾”建设进度安排</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介绍“美丽海湾”建设工期。</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5、“美丽海湾”建设目标技术可行性分析</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（三）建设投资与资金筹措</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1、建设投资</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相关工程投资估算（预算）包括分部分项工程和总项目投资估算（预算）。</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2、资金筹措</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应明确项目已完成投资额及资金来源（且应提供证明材料）、拟申请省级补助资金额度、地方财政资金、社会投入资金额度。</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（四）主要成果及效益分析</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1、环境效益</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尽可能采用量化指标阐述，如近岸海域水质改善情况、污染物减排成效、整治修复岸线长度、恢复滨海湿地面积情况、生物多样性改善成效等。</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2、社会效益</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说明项目实施后为社会所做的贡献，如改善生活空间、减小开发强度、扩展生态环境宣传教育平台、增加休闲空间、促进旅游业及服务业发展情况等。</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3、经济效益</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按照项目经济评价的要求，结合总投资、经济收入、项目寿命期、项目运行费用等数据，进行经济效益分析，着重量化说明污染治理成本降低情况。</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4、主要成果</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项目实施后可推广、可复制的技术目录、示范典型、政策文件、经验总结、技术规范等。</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（五）组织实施保障</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1、组织实施</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明确项目具体组织实施的责任单位和部门、组织人员情况、制度保障情况、监督检查等内容。</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2、风险防范</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进行项目安全问题识别，明确可能存在的环境风险，制定相应的应急预案。</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3、运行管理长效机制</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包括运行管理的组织、日常监督与管理、运行经费保障等方面。</w:t>
      </w:r>
    </w:p>
    <w:p>
      <w:pPr>
        <w:ind w:firstLine="64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（六）附件</w:t>
      </w:r>
    </w:p>
    <w:p>
      <w:pPr>
        <w:ind w:firstLine="1292" w:firstLineChars="404"/>
        <w:rPr>
          <w:sz w:val="28"/>
          <w:szCs w:val="20"/>
        </w:rPr>
      </w:pPr>
      <w:r>
        <w:rPr>
          <w:rFonts w:hint="eastAsia" w:ascii="仿宋_GB2312" w:hAnsi="宋体" w:eastAsia="仿宋_GB2312" w:cs="仿宋_GB2312"/>
          <w:i w:val="0"/>
          <w:iCs w:val="0"/>
          <w:caps w:val="0"/>
          <w:color w:val="000000"/>
          <w:spacing w:val="0"/>
          <w:sz w:val="32"/>
          <w:szCs w:val="32"/>
          <w:shd w:val="clear" w:color="auto" w:fill="FFFFFF"/>
          <w:lang w:val="en-US" w:eastAsia="zh-CN"/>
        </w:rPr>
        <w:t>相关附件。</w:t>
      </w:r>
    </w:p>
    <w:p>
      <w:pPr>
        <w:pStyle w:val="2"/>
        <w:rPr>
          <w:rFonts w:hint="default"/>
        </w:rPr>
      </w:pPr>
    </w:p>
    <w:p>
      <w:pPr>
        <w:pStyle w:val="10"/>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jc w:val="both"/>
        <w:rPr>
          <w:rFonts w:hint="eastAsia" w:ascii="黑体" w:hAnsi="黑体" w:eastAsia="黑体" w:cs="黑体"/>
          <w:b w:val="0"/>
          <w:bCs/>
          <w:sz w:val="36"/>
          <w:szCs w:val="36"/>
          <w:shd w:val="clear" w:color="auto" w:fill="auto"/>
        </w:rPr>
      </w:pPr>
      <w:r>
        <w:rPr>
          <w:rFonts w:hint="eastAsia" w:ascii="黑体" w:hAnsi="黑体" w:eastAsia="黑体" w:cs="黑体"/>
          <w:b w:val="0"/>
          <w:bCs/>
          <w:sz w:val="32"/>
          <w:szCs w:val="32"/>
          <w:shd w:val="clear" w:color="auto" w:fill="auto"/>
          <w:lang w:eastAsia="zh-CN"/>
        </w:rPr>
        <w:t>附件</w:t>
      </w:r>
      <w:r>
        <w:rPr>
          <w:rFonts w:hint="eastAsia" w:ascii="黑体" w:hAnsi="黑体" w:eastAsia="黑体" w:cs="黑体"/>
          <w:b w:val="0"/>
          <w:bCs/>
          <w:sz w:val="32"/>
          <w:szCs w:val="32"/>
          <w:shd w:val="clear" w:color="auto" w:fill="auto"/>
          <w:lang w:val="en-US" w:eastAsia="zh-CN"/>
        </w:rPr>
        <w:t>4</w:t>
      </w:r>
      <w:r>
        <w:rPr>
          <w:rFonts w:hint="eastAsia" w:ascii="黑体" w:hAnsi="黑体" w:eastAsia="黑体" w:cs="黑体"/>
          <w:b w:val="0"/>
          <w:bCs/>
          <w:sz w:val="32"/>
          <w:szCs w:val="32"/>
          <w:shd w:val="clear" w:color="auto" w:fill="auto"/>
          <w:lang w:eastAsia="zh-CN"/>
        </w:rPr>
        <w:t>：</w:t>
      </w:r>
    </w:p>
    <w:p>
      <w:pPr>
        <w:jc w:val="center"/>
        <w:rPr>
          <w:rFonts w:hint="eastAsia" w:ascii="黑体" w:hAnsi="黑体" w:eastAsia="黑体" w:cs="黑体"/>
          <w:b w:val="0"/>
          <w:bCs/>
          <w:sz w:val="36"/>
          <w:szCs w:val="36"/>
          <w:shd w:val="clear" w:color="auto" w:fill="auto"/>
        </w:rPr>
      </w:pPr>
    </w:p>
    <w:p>
      <w:pPr>
        <w:jc w:val="center"/>
        <w:rPr>
          <w:rFonts w:hint="eastAsia" w:ascii="仿宋" w:hAnsi="仿宋" w:eastAsia="仿宋" w:cs="仿宋"/>
          <w:sz w:val="32"/>
          <w:szCs w:val="32"/>
          <w:shd w:val="clear" w:color="auto" w:fill="auto"/>
        </w:rPr>
      </w:pPr>
      <w:r>
        <w:rPr>
          <w:rFonts w:hint="eastAsia" w:ascii="黑体" w:hAnsi="黑体" w:eastAsia="黑体" w:cs="黑体"/>
          <w:b w:val="0"/>
          <w:bCs/>
          <w:sz w:val="36"/>
          <w:szCs w:val="36"/>
          <w:shd w:val="clear" w:color="auto" w:fill="auto"/>
        </w:rPr>
        <w:t>询价供应商报价函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致</w:t>
      </w:r>
      <w:r>
        <w:rPr>
          <w:rFonts w:hint="eastAsia" w:ascii="仿宋" w:hAnsi="仿宋" w:eastAsia="仿宋" w:cs="仿宋"/>
          <w:sz w:val="32"/>
          <w:szCs w:val="32"/>
          <w:shd w:val="clear" w:color="auto" w:fill="auto"/>
          <w:lang w:eastAsia="zh-CN"/>
        </w:rPr>
        <w:t>福州市连江生态环境局</w:t>
      </w:r>
      <w:r>
        <w:rPr>
          <w:rFonts w:hint="eastAsia" w:ascii="仿宋" w:hAnsi="仿宋" w:eastAsia="仿宋" w:cs="仿宋"/>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 xml:space="preserve">    关于</w:t>
      </w:r>
      <w:r>
        <w:rPr>
          <w:rFonts w:hint="eastAsia" w:ascii="仿宋" w:hAnsi="仿宋" w:eastAsia="仿宋" w:cs="仿宋"/>
          <w:kern w:val="2"/>
          <w:sz w:val="32"/>
          <w:szCs w:val="32"/>
          <w:shd w:val="clear" w:color="auto" w:fill="auto"/>
          <w:lang w:val="en-US" w:eastAsia="zh-CN" w:bidi="ar-SA"/>
        </w:rPr>
        <w:t>连江县美丽海湾建设实施方案编制项目</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我们已认真阅读了贵单位发布的询价公告，决定参加报价。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一、报价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 xml:space="preserve">    </w:t>
      </w:r>
      <w:r>
        <w:rPr>
          <w:rFonts w:hint="eastAsia" w:ascii="仿宋" w:hAnsi="仿宋" w:eastAsia="仿宋" w:cs="仿宋"/>
          <w:sz w:val="32"/>
          <w:szCs w:val="32"/>
          <w:shd w:val="clear" w:color="auto" w:fill="auto"/>
        </w:rPr>
        <w:t>在研究了</w:t>
      </w:r>
      <w:r>
        <w:rPr>
          <w:rFonts w:hint="eastAsia" w:ascii="仿宋" w:hAnsi="仿宋" w:eastAsia="仿宋" w:cs="仿宋"/>
          <w:kern w:val="2"/>
          <w:sz w:val="32"/>
          <w:szCs w:val="32"/>
          <w:shd w:val="clear" w:color="auto" w:fill="auto"/>
          <w:lang w:val="en-US" w:eastAsia="zh-CN" w:bidi="ar-SA"/>
        </w:rPr>
        <w:t>连江县美丽海湾建设实施方案项目</w:t>
      </w:r>
      <w:r>
        <w:rPr>
          <w:rFonts w:hint="eastAsia" w:ascii="仿宋" w:hAnsi="仿宋" w:eastAsia="仿宋" w:cs="仿宋"/>
          <w:sz w:val="32"/>
          <w:szCs w:val="32"/>
          <w:shd w:val="clear" w:color="auto" w:fill="auto"/>
        </w:rPr>
        <w:t>询价公告后，我们愿意按人民币（大写</w:t>
      </w:r>
      <w:r>
        <w:rPr>
          <w:rFonts w:hint="eastAsia" w:ascii="仿宋" w:hAnsi="仿宋" w:eastAsia="仿宋" w:cs="仿宋"/>
          <w:sz w:val="32"/>
          <w:szCs w:val="32"/>
          <w:u w:val="single"/>
          <w:shd w:val="clear" w:color="auto" w:fill="auto"/>
        </w:rPr>
        <w:t xml:space="preserve">        </w:t>
      </w:r>
      <w:r>
        <w:rPr>
          <w:rFonts w:hint="eastAsia" w:ascii="仿宋" w:hAnsi="仿宋" w:eastAsia="仿宋" w:cs="仿宋"/>
          <w:sz w:val="32"/>
          <w:szCs w:val="32"/>
          <w:u w:val="single"/>
          <w:shd w:val="clear" w:color="auto" w:fill="auto"/>
          <w:lang w:val="en-US" w:eastAsia="zh-CN"/>
        </w:rPr>
        <w:t xml:space="preserve"> </w:t>
      </w:r>
      <w:r>
        <w:rPr>
          <w:rFonts w:hint="eastAsia" w:ascii="仿宋" w:hAnsi="仿宋" w:eastAsia="仿宋" w:cs="仿宋"/>
          <w:sz w:val="32"/>
          <w:szCs w:val="32"/>
          <w:u w:val="single"/>
          <w:shd w:val="clear" w:color="auto" w:fill="auto"/>
        </w:rPr>
        <w:t xml:space="preserve">     </w:t>
      </w:r>
      <w:r>
        <w:rPr>
          <w:rFonts w:hint="eastAsia" w:ascii="仿宋" w:hAnsi="仿宋" w:eastAsia="仿宋" w:cs="仿宋"/>
          <w:sz w:val="32"/>
          <w:szCs w:val="32"/>
          <w:shd w:val="clear" w:color="auto" w:fill="auto"/>
        </w:rPr>
        <w:t>）（小写</w:t>
      </w:r>
      <w:r>
        <w:rPr>
          <w:rFonts w:hint="eastAsia" w:ascii="仿宋" w:hAnsi="仿宋" w:eastAsia="仿宋" w:cs="仿宋"/>
          <w:sz w:val="32"/>
          <w:szCs w:val="32"/>
          <w:u w:val="single"/>
          <w:shd w:val="clear" w:color="auto" w:fill="auto"/>
        </w:rPr>
        <w:t xml:space="preserve">      </w:t>
      </w:r>
      <w:r>
        <w:rPr>
          <w:rFonts w:hint="eastAsia" w:ascii="仿宋" w:hAnsi="仿宋" w:eastAsia="仿宋" w:cs="仿宋"/>
          <w:sz w:val="32"/>
          <w:szCs w:val="32"/>
          <w:u w:val="single"/>
          <w:shd w:val="clear" w:color="auto" w:fill="auto"/>
          <w:lang w:val="en-US" w:eastAsia="zh-CN"/>
        </w:rPr>
        <w:t xml:space="preserve">   </w:t>
      </w:r>
      <w:r>
        <w:rPr>
          <w:rFonts w:hint="eastAsia" w:ascii="仿宋" w:hAnsi="仿宋" w:eastAsia="仿宋" w:cs="仿宋"/>
          <w:sz w:val="32"/>
          <w:szCs w:val="32"/>
          <w:u w:val="single"/>
          <w:shd w:val="clear" w:color="auto" w:fill="auto"/>
        </w:rPr>
        <w:t xml:space="preserve">      </w:t>
      </w:r>
      <w:r>
        <w:rPr>
          <w:rFonts w:hint="eastAsia" w:ascii="仿宋" w:hAnsi="仿宋" w:eastAsia="仿宋" w:cs="仿宋"/>
          <w:sz w:val="32"/>
          <w:szCs w:val="32"/>
          <w:shd w:val="clear" w:color="auto" w:fill="auto"/>
        </w:rPr>
        <w:t>）的总价，遵照询价公告的要求承担本询价项目的实施，完成本次询价范围的全部项目内容。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有关证明材料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营业执照副本、组织机构证书、税务登记证</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相关认证证书</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lang w:val="en-US" w:eastAsia="zh-CN"/>
        </w:rPr>
        <w:t>缴纳社保的证明材料</w:t>
      </w:r>
      <w:r>
        <w:rPr>
          <w:rFonts w:hint="eastAsia" w:ascii="仿宋" w:hAnsi="仿宋" w:eastAsia="仿宋" w:cs="仿宋"/>
          <w:sz w:val="32"/>
          <w:szCs w:val="32"/>
          <w:shd w:val="clear" w:color="auto" w:fill="auto"/>
        </w:rPr>
        <w:t>等</w:t>
      </w:r>
      <w:r>
        <w:rPr>
          <w:rFonts w:hint="eastAsia" w:ascii="仿宋" w:hAnsi="仿宋" w:eastAsia="仿宋" w:cs="仿宋"/>
          <w:sz w:val="32"/>
          <w:szCs w:val="32"/>
          <w:shd w:val="clear" w:color="auto" w:fill="auto"/>
          <w:lang w:eastAsia="zh-CN"/>
        </w:rPr>
        <w:t>复印件，复印件须加盖公章。</w:t>
      </w:r>
    </w:p>
    <w:p>
      <w:pPr>
        <w:keepNext w:val="0"/>
        <w:keepLines w:val="0"/>
        <w:pageBreakBefore w:val="0"/>
        <w:kinsoku/>
        <w:overflowPunct/>
        <w:topLinePunct w:val="0"/>
        <w:autoSpaceDE/>
        <w:autoSpaceDN/>
        <w:bidi w:val="0"/>
        <w:adjustRightInd/>
        <w:spacing w:line="240" w:lineRule="auto"/>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三、联系方式</w:t>
      </w:r>
    </w:p>
    <w:p>
      <w:pPr>
        <w:keepNext w:val="0"/>
        <w:keepLines w:val="0"/>
        <w:pageBreakBefore w:val="0"/>
        <w:kinsoku/>
        <w:overflowPunct/>
        <w:topLinePunct w:val="0"/>
        <w:autoSpaceDE/>
        <w:autoSpaceDN/>
        <w:bidi w:val="0"/>
        <w:adjustRightInd/>
        <w:spacing w:line="24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 xml:space="preserve">联系人： </w:t>
      </w:r>
    </w:p>
    <w:p>
      <w:pPr>
        <w:keepNext w:val="0"/>
        <w:keepLines w:val="0"/>
        <w:pageBreakBefore w:val="0"/>
        <w:kinsoku/>
        <w:overflowPunct/>
        <w:topLinePunct w:val="0"/>
        <w:autoSpaceDE/>
        <w:autoSpaceDN/>
        <w:bidi w:val="0"/>
        <w:adjustRightInd/>
        <w:spacing w:line="24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电话：</w:t>
      </w:r>
    </w:p>
    <w:p>
      <w:pPr>
        <w:keepNext w:val="0"/>
        <w:keepLines w:val="0"/>
        <w:pageBreakBefore w:val="0"/>
        <w:kinsoku/>
        <w:overflowPunct/>
        <w:topLinePunct w:val="0"/>
        <w:autoSpaceDE/>
        <w:autoSpaceDN/>
        <w:bidi w:val="0"/>
        <w:adjustRightInd/>
        <w:spacing w:line="240" w:lineRule="auto"/>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地址：</w:t>
      </w:r>
    </w:p>
    <w:p>
      <w:pPr>
        <w:keepNext w:val="0"/>
        <w:keepLines w:val="0"/>
        <w:pageBreakBefore w:val="0"/>
        <w:kinsoku/>
        <w:overflowPunct/>
        <w:topLinePunct w:val="0"/>
        <w:autoSpaceDE/>
        <w:autoSpaceDN/>
        <w:bidi w:val="0"/>
        <w:adjustRightInd/>
        <w:spacing w:line="240" w:lineRule="auto"/>
        <w:ind w:firstLine="4480" w:firstLineChars="14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单位名称（盖章）：</w:t>
      </w:r>
    </w:p>
    <w:p>
      <w:pPr>
        <w:keepNext w:val="0"/>
        <w:keepLines w:val="0"/>
        <w:pageBreakBefore w:val="0"/>
        <w:kinsoku/>
        <w:overflowPunct/>
        <w:topLinePunct w:val="0"/>
        <w:autoSpaceDE/>
        <w:autoSpaceDN/>
        <w:bidi w:val="0"/>
        <w:adjustRightInd/>
        <w:spacing w:line="240" w:lineRule="auto"/>
        <w:textAlignment w:val="auto"/>
        <w:rPr>
          <w:rFonts w:hint="eastAsia" w:ascii="仿宋" w:hAnsi="仿宋" w:eastAsia="仿宋" w:cs="仿宋"/>
          <w:sz w:val="32"/>
          <w:szCs w:val="32"/>
        </w:rPr>
      </w:pPr>
      <w:r>
        <w:rPr>
          <w:rFonts w:hint="eastAsia" w:ascii="仿宋" w:hAnsi="仿宋" w:eastAsia="仿宋" w:cs="仿宋"/>
          <w:sz w:val="32"/>
          <w:szCs w:val="32"/>
          <w:shd w:val="clear" w:color="auto" w:fill="auto"/>
        </w:rPr>
        <w:t xml:space="preserve">                           </w:t>
      </w:r>
      <w:r>
        <w:rPr>
          <w:rFonts w:hint="eastAsia" w:ascii="仿宋" w:hAnsi="仿宋" w:eastAsia="仿宋" w:cs="仿宋"/>
          <w:sz w:val="32"/>
          <w:szCs w:val="32"/>
          <w:shd w:val="clear" w:color="auto" w:fill="auto"/>
          <w:lang w:val="en-US" w:eastAsia="zh-CN"/>
        </w:rPr>
        <w:t xml:space="preserve">      </w:t>
      </w:r>
      <w:r>
        <w:rPr>
          <w:rFonts w:hint="eastAsia" w:ascii="仿宋" w:hAnsi="仿宋" w:eastAsia="仿宋" w:cs="仿宋"/>
          <w:sz w:val="32"/>
          <w:szCs w:val="32"/>
          <w:shd w:val="clear" w:color="auto" w:fill="auto"/>
        </w:rPr>
        <w:t>年   月   日</w:t>
      </w:r>
    </w:p>
    <w:p>
      <w:pPr>
        <w:rPr>
          <w:rFonts w:hint="eastAsia"/>
        </w:rPr>
      </w:pPr>
    </w:p>
    <w:p>
      <w:pPr>
        <w:rPr>
          <w:rFonts w:hint="default"/>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BA416"/>
    <w:multiLevelType w:val="singleLevel"/>
    <w:tmpl w:val="163BA4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WVhNDgwMjA1Mzk4ZjQxODQ1ZjMzYzk1NzdmNDgifQ=="/>
  </w:docVars>
  <w:rsids>
    <w:rsidRoot w:val="526C0DD2"/>
    <w:rsid w:val="083A234B"/>
    <w:rsid w:val="526C0D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next w:val="3"/>
    <w:unhideWhenUsed/>
    <w:qFormat/>
    <w:uiPriority w:val="99"/>
    <w:rPr>
      <w:sz w:val="18"/>
      <w:szCs w:val="18"/>
    </w:rPr>
  </w:style>
  <w:style w:type="paragraph" w:styleId="3">
    <w:name w:val="footer"/>
    <w:basedOn w:val="1"/>
    <w:qFormat/>
    <w:uiPriority w:val="0"/>
    <w:pPr>
      <w:snapToGrid w:val="0"/>
      <w:jc w:val="left"/>
    </w:pPr>
    <w:rPr>
      <w:sz w:val="18"/>
      <w:szCs w:val="18"/>
    </w:rPr>
  </w:style>
  <w:style w:type="table" w:styleId="6">
    <w:name w:val="Table Grid"/>
    <w:basedOn w:val="5"/>
    <w:qFormat/>
    <w:uiPriority w:val="0"/>
    <w:rPr>
      <w:rFonts w:ascii="Times New Roman" w:hAnsi="Times New Roman"/>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宋体" w:hAnsi="宋体" w:eastAsia="宋体" w:cs="宋体"/>
      <w:b/>
      <w:color w:val="000000"/>
      <w:sz w:val="21"/>
      <w:szCs w:val="21"/>
      <w:u w:val="none"/>
    </w:rPr>
  </w:style>
  <w:style w:type="character" w:customStyle="1" w:styleId="9">
    <w:name w:val="font21"/>
    <w:basedOn w:val="7"/>
    <w:qFormat/>
    <w:uiPriority w:val="0"/>
    <w:rPr>
      <w:rFonts w:hint="default" w:ascii="Times New Roman" w:hAnsi="Times New Roman" w:cs="Times New Roman"/>
      <w:b/>
      <w:color w:val="000000"/>
      <w:sz w:val="21"/>
      <w:szCs w:val="21"/>
      <w:u w:val="none"/>
    </w:rPr>
  </w:style>
  <w:style w:type="paragraph" w:customStyle="1" w:styleId="10">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2023-11-27T09:30:00Z</dcterms:created>
  <dc:creator>子华</dc:creator>
  <cp:lastModifiedBy>l.n.z</cp:lastModifiedBy>
  <dcterms:modified xsi:type="dcterms:W3CDTF">2023-11-27T09:38:36Z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4BBA3CED75B5440F8FB18EFCC5951499_13</vt:lpwstr>
  </property>
</Properties>
</file>