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2024年环境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监测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shd w:val="clear" w:color="auto" w:fill="FFFFFF"/>
        </w:rPr>
        <w:t>仪器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设备采购清单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shd w:val="clear" w:color="auto" w:fill="FFFFFF"/>
          <w:lang w:eastAsia="zh-CN"/>
        </w:rPr>
        <w:t>及基本配置等要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shd w:val="clear" w:color="auto" w:fill="FFFFFF"/>
        </w:rPr>
        <w:t>求</w:t>
      </w: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</w:pP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一、　拟采购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lang w:eastAsia="zh-CN"/>
        </w:rPr>
        <w:t>监测仪器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明细表</w:t>
      </w:r>
    </w:p>
    <w:tbl>
      <w:tblPr>
        <w:tblStyle w:val="4"/>
        <w:tblW w:w="5000" w:type="pct"/>
        <w:tblCellSpacing w:w="0" w:type="dxa"/>
        <w:tblInd w:w="-2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33"/>
        <w:gridCol w:w="3961"/>
        <w:gridCol w:w="1027"/>
        <w:gridCol w:w="1389"/>
        <w:gridCol w:w="182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20" w:hRule="atLeast"/>
          <w:tblCellSpacing w:w="0" w:type="dxa"/>
        </w:trPr>
        <w:tc>
          <w:tcPr>
            <w:tcW w:w="68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序号</w:t>
            </w:r>
          </w:p>
        </w:tc>
        <w:tc>
          <w:tcPr>
            <w:tcW w:w="3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设备名称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数量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0" w:hRule="atLeast"/>
          <w:tblCellSpacing w:w="0" w:type="dxa"/>
        </w:trPr>
        <w:tc>
          <w:tcPr>
            <w:tcW w:w="68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3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便携式非甲烷总烃检测仪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套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7" w:hRule="atLeast"/>
          <w:tblCellSpacing w:w="0" w:type="dxa"/>
        </w:trPr>
        <w:tc>
          <w:tcPr>
            <w:tcW w:w="689" w:type="dxa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3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lang w:val="en-US" w:eastAsia="zh-CN"/>
              </w:rPr>
              <w:t>酶底物法水中菌群检测系统</w:t>
            </w:r>
          </w:p>
        </w:tc>
        <w:tc>
          <w:tcPr>
            <w:tcW w:w="9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套</w:t>
            </w:r>
          </w:p>
        </w:tc>
        <w:tc>
          <w:tcPr>
            <w:tcW w:w="13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7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二、监测仪器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lang w:eastAsia="zh-CN"/>
        </w:rPr>
        <w:t>基本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配置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  <w:lang w:eastAsia="zh-CN"/>
        </w:rPr>
        <w:t>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4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（一）便携式非甲烷总烃检测仪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1、仪器用途：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适用于固定污染源废气中非甲烷总烃的测定。仪器需同时满足并符合《固定污染源废气 非甲烷总烃的测定 便携式催化氧化-氢火焰离子化检测器法》（DB35/T 1913-2020）、《非甲烷总烃的测定 便携式催化氧化-氢离子火焰化检测器法》（HJ 1331—2023）、《环境空气和废气 总烃、甲烷和非甲烷总烃便携式监测仪技术要求及检测方法》（HJ1012-2018）。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2、配置要求：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便携式总烃检测仪主机1台，采样管线套装，手持式数据终端，仪器使用的零气和标气及其他配件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（二）酶底物法水中菌群检测系统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1、仪器用途：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适用于水样中微生物（粪大肠菌群、总大肠菌群和大肠埃希菌、绿脓假单胞菌、肠球菌、军团菌等）的室内及野外应急同步定量分析。仪器需符合《水质 总大肠菌群、粪大肠菌群和 大肠埃希氏菌的测定 酶底物法》（HJ 1001-2018 ）技术规范要求，用于测定地表水、生活污水和工业废水中的粪大肠菌群、总大肠菌群和大肠埃希菌、绿脓假单胞菌、肠球菌、军团菌等。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/>
          <w:b w:val="0"/>
          <w:bCs w:val="0"/>
          <w:color w:val="auto"/>
          <w:lang w:val="en-US"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2、配置要求：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</w:rPr>
        <w:t>定量封口机</w:t>
      </w:r>
      <w:r>
        <w:rPr>
          <w:b w:val="0"/>
          <w:bCs w:val="0"/>
          <w:color w:val="auto"/>
        </w:rPr>
        <w:t xml:space="preserve">  1台</w:t>
      </w:r>
      <w:r>
        <w:rPr>
          <w:rFonts w:hint="eastAsia"/>
          <w:b w:val="0"/>
          <w:bCs w:val="0"/>
          <w:color w:val="auto"/>
          <w:lang w:eastAsia="zh-CN"/>
        </w:rPr>
        <w:t>（含电脑软件、中文操作视频），</w:t>
      </w:r>
      <w:r>
        <w:rPr>
          <w:b w:val="0"/>
          <w:bCs w:val="0"/>
          <w:color w:val="auto"/>
          <w:lang w:eastAsia="zh-CN"/>
        </w:rPr>
        <w:t>配NSI水质大肠菌群定量质控标样</w:t>
      </w:r>
      <w:r>
        <w:rPr>
          <w:rFonts w:hint="eastAsia"/>
          <w:b w:val="0"/>
          <w:bCs w:val="0"/>
          <w:color w:val="auto"/>
          <w:lang w:eastAsia="zh-CN"/>
        </w:rPr>
        <w:t>、</w:t>
      </w:r>
      <w:r>
        <w:rPr>
          <w:b w:val="0"/>
          <w:bCs w:val="0"/>
          <w:color w:val="auto"/>
        </w:rPr>
        <w:t>阳性标准比色盘</w:t>
      </w:r>
      <w:r>
        <w:rPr>
          <w:rFonts w:hint="eastAsia"/>
          <w:b w:val="0"/>
          <w:bCs w:val="0"/>
          <w:color w:val="auto"/>
          <w:lang w:val="en-US" w:eastAsia="zh-CN"/>
        </w:rPr>
        <w:t>、多参数酶底物法试剂套装、粪大肠菌检测试剂、120ml无菌取样瓶（含硫代硫酸钠）、定量盘，检定/校准证书1份。</w:t>
      </w:r>
    </w:p>
    <w:p>
      <w:pPr>
        <w:jc w:val="both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44"/>
          <w:szCs w:val="44"/>
        </w:rPr>
        <w:t>福州市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罗源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202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年</w:t>
      </w:r>
      <w:r>
        <w:rPr>
          <w:rFonts w:hint="eastAsia" w:ascii="黑体" w:hAnsi="黑体" w:eastAsia="黑体" w:cs="黑体"/>
          <w:color w:val="auto"/>
          <w:sz w:val="44"/>
          <w:szCs w:val="44"/>
          <w:shd w:val="clear" w:color="auto" w:fill="FFFFFF"/>
        </w:rPr>
        <w:t>环境监测仪器采购项目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</w:rPr>
        <w:t>监测仪器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设备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技术参数及预算价格征集报名表</w:t>
      </w:r>
    </w:p>
    <w:bookmarkEnd w:id="0"/>
    <w:tbl>
      <w:tblPr>
        <w:tblStyle w:val="5"/>
        <w:tblW w:w="89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417"/>
        <w:gridCol w:w="1276"/>
        <w:gridCol w:w="1559"/>
        <w:gridCol w:w="1559"/>
        <w:gridCol w:w="9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供应商名称</w:t>
            </w:r>
          </w:p>
        </w:tc>
        <w:tc>
          <w:tcPr>
            <w:tcW w:w="679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679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供应商代表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4" w:hRule="atLeast"/>
          <w:jc w:val="center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拟参与技术参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数论证设备</w:t>
            </w:r>
          </w:p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（可填写多项）</w:t>
            </w:r>
          </w:p>
        </w:tc>
        <w:tc>
          <w:tcPr>
            <w:tcW w:w="679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928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kYzQ0YzFjYWFiMWJjNWU1MDlkNDRiY2VlNzBiMjYifQ=="/>
  </w:docVars>
  <w:rsids>
    <w:rsidRoot w:val="00000000"/>
    <w:rsid w:val="083C4C0D"/>
    <w:rsid w:val="0A0B5F15"/>
    <w:rsid w:val="1141077A"/>
    <w:rsid w:val="161A4433"/>
    <w:rsid w:val="20746C50"/>
    <w:rsid w:val="23257D19"/>
    <w:rsid w:val="28A6627F"/>
    <w:rsid w:val="29200271"/>
    <w:rsid w:val="2BE17DBA"/>
    <w:rsid w:val="33B45D7C"/>
    <w:rsid w:val="41C92B0A"/>
    <w:rsid w:val="4B1A3499"/>
    <w:rsid w:val="4D7F3707"/>
    <w:rsid w:val="4E4864BE"/>
    <w:rsid w:val="55106439"/>
    <w:rsid w:val="632D798E"/>
    <w:rsid w:val="63F61EC6"/>
    <w:rsid w:val="6D67158F"/>
    <w:rsid w:val="7EE01219"/>
    <w:rsid w:val="7F9D4F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rPr>
      <w:sz w:val="24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953</Words>
  <Characters>992</Characters>
  <Lines>0</Lines>
  <Paragraphs>0</Paragraphs>
  <TotalTime>15</TotalTime>
  <ScaleCrop>false</ScaleCrop>
  <LinksUpToDate>false</LinksUpToDate>
  <CharactersWithSpaces>1058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l.n.z</cp:lastModifiedBy>
  <cp:lastPrinted>2024-03-12T06:46:00Z</cp:lastPrinted>
  <dcterms:modified xsi:type="dcterms:W3CDTF">2024-03-13T07:09:47Z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96BF90A7EF6F4F589DB9F2574CB0A79B_13</vt:lpwstr>
  </property>
</Properties>
</file>