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positio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position w:val="0"/>
          <w:sz w:val="32"/>
          <w:szCs w:val="32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pacing w:val="0"/>
          <w:kern w:val="0"/>
          <w:position w:val="0"/>
          <w:sz w:val="40"/>
          <w:szCs w:val="4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pacing w:val="0"/>
          <w:kern w:val="0"/>
          <w:position w:val="0"/>
          <w:sz w:val="40"/>
          <w:szCs w:val="40"/>
          <w:lang w:val="en-US" w:eastAsia="zh-CN" w:bidi="ar-SA"/>
        </w:rPr>
        <w:t>项目相关信息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pacing w:val="0"/>
          <w:kern w:val="0"/>
          <w:position w:val="0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一、工作内容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一是根据国家规范标准，协助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福州市行政区域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范围内挑选拟优化的新点位，监测点位需符合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国家规范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《环境空气质量监测点位布设技术规范》（HJ664-2013）的指标要求，应保证监测点附近 1000 米内的土地使用状况相对稳定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从采样口到附近最高障碍物之间的水平距离，应为该障碍物与采样口或监测光束高度差的两倍以上，或从采样口至障碍物顶部与地平线夹角应小于30度；采样口周围水平面应保证270°以上的捕集空间，如果采样口一边靠近建筑物，采样口周围水平面应有180°以上的自由空间；监测点周围环境状况相对稳定；监测点附近无强大的电磁干扰，周围有稳定可靠的电力供应和避雷设备，通信线路容易安装和检修；应考虑监测点位设置在机关单位及其他公共场所时，保证通畅、便利的出入通道及条件，在出现突发状况时，可及时赶到现场进行处理。（暂定紫阳3个备选点，实际点位位置可根据业主方要求在市区范围内进行调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二是在新点位建设临时站房，配置对应仪器设备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（包括但不限于气象仪、温湿度表、灭火器、空调、排气扇、稳压电源、灯具电源、监控及数据采集系统等）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并依据国家规范《环境空气气态污染物（SO2、NO2、O3、CO）连续自动监测系统运行和质控技术规范》（HJ 818-21018）、《环境空气颗粒物（PM10 和 PM2.5）连续自动监测系统运行和质控技术规范》（HJ 817-2018）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开展半年监测运维（运维含水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网络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、运维耗材及维护更换配件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等产生的所有费用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站房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结构应标准化，站房组件、部件、零件、附属设备、以及其安装接口，应是标准的、通用的，保证安全、可靠、稳定，且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配套仪器设备型号、运维管理标准应与福州市区国控站点一致）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运维期间，中标人应保证站房的供电及网络传输正常及防火用电安全，保持站房内部温湿度稳定及通风，雨季应及时巡检排查，防止站房周边积水及内部漏水隐患，同时应做好设备质控维护记录，数据的审核、分析及保存，做好数据保密工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三是结合当前国控站点及本次拟优化调整站点监测数据，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综合分析各点位之间污染物的相关性及污染物趋势走向，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编写点位优化调整论证报告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，报告内容应包含各监测点位的浓度数据分析、特征污染物分析、气象数据参数分析及综合污染指数统计等，</w:t>
      </w:r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能更全面、客观、科学地反映区域环境空气质量状况，为环境管理、环境决策提供科学依据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中标人应具备开标15天内开展全部点位比对监测的能力。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支付方式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期支付，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签订合同30日内支付30%费用，完成规定监测任务且论证报告通过专家评审后30日内支付70</w:t>
      </w:r>
      <w:r>
        <w:rPr>
          <w:rFonts w:hint="eastAsia" w:ascii="仿宋_GB2312" w:hAnsi="仿宋_GB2312" w:eastAsia="仿宋_GB2312" w:cs="仿宋_GB2312"/>
          <w:sz w:val="32"/>
          <w:szCs w:val="32"/>
        </w:rPr>
        <w:t>%费用（实际支付费用以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实际监测点位数和天数</w:t>
      </w:r>
      <w:r>
        <w:rPr>
          <w:rFonts w:hint="eastAsia" w:ascii="仿宋_GB2312" w:hAnsi="仿宋_GB2312" w:eastAsia="仿宋_GB2312" w:cs="仿宋_GB2312"/>
          <w:sz w:val="32"/>
          <w:szCs w:val="32"/>
        </w:rPr>
        <w:t>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考核验收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中标人完成规定监测任务并提交论证报告后，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市生态环境局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组织进行项目验收。在本项目合同期内发生的一切质量问题，中标人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进行改进，期间所发生的一切费用由中标人承担，未能整改到位的，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市生态环境局</w:t>
      </w:r>
      <w:r>
        <w:rPr>
          <w:rFonts w:hint="eastAsia" w:ascii="仿宋_GB2312" w:hAnsi="仿宋_GB2312" w:eastAsia="仿宋_GB2312" w:cs="仿宋_GB2312"/>
          <w:sz w:val="32"/>
          <w:szCs w:val="32"/>
        </w:rPr>
        <w:t>有权提前终止合同并追究违约责任。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四、违约责任条款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（1）因中标人原因造成采购合同无法按时签订，视为中标人违约，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业主方有权解除合同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且中标人</w:t>
      </w:r>
      <w:r>
        <w:rPr>
          <w:rFonts w:hint="eastAsia" w:ascii="仿宋_GB2312" w:hAnsi="仿宋_GB2312" w:eastAsia="仿宋_GB2312" w:cs="仿宋_GB2312"/>
          <w:sz w:val="32"/>
          <w:szCs w:val="32"/>
        </w:rPr>
        <w:t>需另行支付中标金额百分之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十的赔偿；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因中标人原因造成合同签订后30日内无法按标准（包括但不限于站房质量、仪器设备型号、运维水平）开展比对监测的，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视为中标人违约，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业主方有权解除合同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中标人除退回业主方已支付款项的，还</w:t>
      </w:r>
      <w:r>
        <w:rPr>
          <w:rFonts w:hint="eastAsia" w:ascii="仿宋_GB2312" w:hAnsi="仿宋_GB2312" w:eastAsia="仿宋_GB2312" w:cs="仿宋_GB2312"/>
          <w:sz w:val="32"/>
          <w:szCs w:val="32"/>
        </w:rPr>
        <w:t>需另行支付中标金额百分之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十的赔偿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（2）在签订采购合同之后，中标人要求解除合同的，视为中标人违约，中标人需另行支付中标金额百分之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十的赔偿；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（3）因中标人原因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导致比对监测暂停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的，每一天扣除中标金额的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</w:t>
      </w:r>
      <w:r>
        <w:rPr>
          <w:rFonts w:hint="eastAsia" w:ascii="仿宋_GB2312" w:hAnsi="仿宋_GB2312" w:eastAsia="仿宋_GB2312" w:cs="仿宋_GB2312"/>
          <w:sz w:val="32"/>
          <w:szCs w:val="32"/>
        </w:rPr>
        <w:t>分之一；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（4）在明确违约责任后，中标人应在接到书面通知书起七个工作日内支付违约金、赔偿金等。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现提请局党组会议研究审定，审定通过后，请局财务处指导配合，我处将抓紧组织项目实施。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pacing w:val="0"/>
          <w:kern w:val="0"/>
          <w:position w:val="0"/>
          <w:sz w:val="44"/>
          <w:szCs w:val="44"/>
          <w:lang w:val="en-US" w:eastAsia="zh-CN" w:bidi="ar-SA"/>
        </w:rPr>
        <w:br w:type="page"/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position w:val="0"/>
          <w:sz w:val="32"/>
          <w:szCs w:val="32"/>
          <w:lang w:val="en-US" w:eastAsia="zh-CN" w:bidi="ar-SA"/>
        </w:rPr>
        <w:t>附件2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pacing w:val="0"/>
          <w:kern w:val="0"/>
          <w:position w:val="0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pacing w:val="0"/>
          <w:kern w:val="0"/>
          <w:position w:val="0"/>
          <w:sz w:val="40"/>
          <w:szCs w:val="4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pacing w:val="0"/>
          <w:kern w:val="0"/>
          <w:position w:val="0"/>
          <w:sz w:val="40"/>
          <w:szCs w:val="40"/>
          <w:lang w:val="en-US" w:eastAsia="zh-CN" w:bidi="ar-SA"/>
        </w:rPr>
        <w:t>福州市国控空气站点优化调整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pacing w:val="0"/>
          <w:kern w:val="0"/>
          <w:position w:val="0"/>
          <w:sz w:val="40"/>
          <w:szCs w:val="40"/>
          <w:lang w:val="en-US" w:eastAsia="zh-CN" w:bidi="ar-SA"/>
        </w:rPr>
        <w:t>比对论证服务项目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报价单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供应商名称：（盖章）                 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联系人：                              联系电话：</w:t>
      </w:r>
    </w:p>
    <w:p>
      <w:pPr>
        <w:rPr>
          <w:rFonts w:hint="default"/>
          <w:lang w:val="en-US" w:eastAsia="zh-CN"/>
        </w:rPr>
      </w:pPr>
    </w:p>
    <w:tbl>
      <w:tblPr>
        <w:tblStyle w:val="7"/>
        <w:tblW w:w="45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0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359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14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3592" w:type="pct"/>
            <w:noWrap w:val="0"/>
            <w:vAlign w:val="center"/>
          </w:tcPr>
          <w:p>
            <w:pPr>
              <w:ind w:firstLine="560" w:firstLineChars="200"/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3个备选站点临时站房建设及半年设备配套与运维服务，并编制论证报告。</w:t>
            </w:r>
          </w:p>
        </w:tc>
        <w:tc>
          <w:tcPr>
            <w:tcW w:w="1407" w:type="pct"/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 w:firstLineChars="0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bidi w:val="0"/>
        <w:adjustRightInd w:val="0"/>
        <w:snapToGrid w:val="0"/>
        <w:spacing w:line="36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bidi w:val="0"/>
        <w:adjustRightInd w:val="0"/>
        <w:snapToGrid w:val="0"/>
        <w:spacing w:line="360" w:lineRule="auto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19C274"/>
    <w:multiLevelType w:val="singleLevel"/>
    <w:tmpl w:val="6B19C27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YzQ0YzFjYWFiMWJjNWU1MDlkNDRiY2VlNzBiMjYifQ=="/>
  </w:docVars>
  <w:rsids>
    <w:rsidRoot w:val="00000000"/>
    <w:rsid w:val="2430635F"/>
    <w:rsid w:val="2BD0443D"/>
    <w:rsid w:val="5AF672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Body Text First Indent 2"/>
    <w:basedOn w:val="3"/>
    <w:unhideWhenUsed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l.n.z</cp:lastModifiedBy>
  <dcterms:modified xsi:type="dcterms:W3CDTF">2024-04-08T03:43:20Z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17D9835727C34126A487737D341A90EE_13</vt:lpwstr>
  </property>
</Properties>
</file>