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20" w:lineRule="exact"/>
        <w:jc w:val="left"/>
        <w:rPr>
          <w:rFonts w:hint="eastAsia" w:ascii="仿宋_GB2312" w:eastAsia="仿宋_GB2312"/>
          <w:sz w:val="28"/>
          <w:szCs w:val="28"/>
          <w:lang w:eastAsia="zh-CN"/>
        </w:rPr>
      </w:pPr>
      <w:bookmarkStart w:id="0" w:name="_GoBack"/>
      <w:bookmarkEnd w:id="0"/>
      <w:r>
        <w:rPr>
          <w:rFonts w:hint="eastAsia" w:ascii="仿宋_GB2312" w:eastAsia="仿宋_GB2312"/>
          <w:sz w:val="28"/>
          <w:szCs w:val="28"/>
        </w:rPr>
        <w:t>附件1</w:t>
      </w:r>
      <w:r>
        <w:rPr>
          <w:rFonts w:hint="eastAsia" w:ascii="仿宋_GB2312" w:eastAsia="仿宋_GB2312"/>
          <w:sz w:val="28"/>
          <w:szCs w:val="28"/>
          <w:lang w:eastAsia="zh-CN"/>
        </w:rPr>
        <w:t>：</w:t>
      </w:r>
    </w:p>
    <w:p>
      <w:pPr>
        <w:widowControl/>
        <w:shd w:val="clear" w:color="auto" w:fill="FFFFFF"/>
        <w:spacing w:line="320" w:lineRule="exact"/>
        <w:jc w:val="center"/>
        <w:rPr>
          <w:rFonts w:hint="eastAsia" w:ascii="仿宋_GB2312" w:eastAsia="仿宋_GB2312"/>
          <w:sz w:val="28"/>
          <w:szCs w:val="28"/>
        </w:rPr>
      </w:pPr>
      <w:r>
        <w:rPr>
          <w:rFonts w:hint="eastAsia" w:ascii="仿宋_GB2312" w:eastAsia="仿宋_GB2312"/>
          <w:sz w:val="28"/>
          <w:szCs w:val="28"/>
        </w:rPr>
        <w:t>　</w:t>
      </w:r>
    </w:p>
    <w:p>
      <w:pPr>
        <w:widowControl/>
        <w:shd w:val="clear" w:color="auto" w:fill="FFFFFF"/>
        <w:wordWrap/>
        <w:adjustRightInd/>
        <w:snapToGrid/>
        <w:spacing w:line="560" w:lineRule="exact"/>
        <w:jc w:val="center"/>
        <w:textAlignment w:val="auto"/>
        <w:rPr>
          <w:rFonts w:hint="eastAsia" w:ascii="仿宋_GB2312" w:hAnsi="Times New Roman" w:eastAsia="仿宋_GB2312" w:cs="Times New Roman"/>
          <w:sz w:val="30"/>
          <w:szCs w:val="30"/>
          <w:lang w:val="en-US" w:eastAsia="zh-CN"/>
        </w:rPr>
      </w:pPr>
      <w:r>
        <w:rPr>
          <w:rFonts w:hint="eastAsia" w:ascii="仿宋_GB2312" w:eastAsia="仿宋_GB2312"/>
          <w:sz w:val="32"/>
          <w:szCs w:val="32"/>
          <w:lang w:val="en-US" w:eastAsia="zh-CN"/>
        </w:rPr>
        <w:t xml:space="preserve"> </w:t>
      </w:r>
      <w:r>
        <w:rPr>
          <w:rFonts w:hint="eastAsia" w:ascii="仿宋_GB2312" w:hAnsi="Times New Roman" w:eastAsia="仿宋_GB2312" w:cs="Times New Roman"/>
          <w:sz w:val="30"/>
          <w:szCs w:val="30"/>
          <w:lang w:val="en-US" w:eastAsia="zh-CN"/>
        </w:rPr>
        <w:t>福州市连江环境监测站</w:t>
      </w:r>
    </w:p>
    <w:p>
      <w:pPr>
        <w:widowControl/>
        <w:shd w:val="clear" w:color="auto" w:fill="FFFFFF"/>
        <w:wordWrap/>
        <w:adjustRightInd/>
        <w:snapToGrid/>
        <w:spacing w:line="560" w:lineRule="exact"/>
        <w:jc w:val="center"/>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2024年实验室资质能力认证扩项项目及其方法</w:t>
      </w:r>
    </w:p>
    <w:tbl>
      <w:tblPr>
        <w:tblStyle w:val="9"/>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8"/>
        <w:gridCol w:w="1641"/>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9"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序号</w:t>
            </w:r>
          </w:p>
        </w:tc>
        <w:tc>
          <w:tcPr>
            <w:tcW w:w="1641"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项目名称</w:t>
            </w:r>
          </w:p>
        </w:tc>
        <w:tc>
          <w:tcPr>
            <w:tcW w:w="6811"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1</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粪大肠菌群</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水质 粪大肠菌群的测定 多管发酵法 HJ 347.2-2018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2</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粪大肠菌群</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水质 总大肠菌群、粪大肠菌群和大肠埃希氏菌的测定 酶底物法 HJ 1001-2018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3</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浊度（浑浊度）(水)</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水质 浊度的测定 浊度计法 HJ1075-2019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4</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硒(水)</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水质 汞、砷、硒、铋和锑的测定 原子荧光法 HJ 694—2014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5</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叶绿素a(生物)</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水质 叶绿素α的测定 分光光度法 HJ897-2017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6</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一氧化碳(气)</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固定污染源废气 一氧化碳的测定 定电位电解法 HJ 973-2018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7</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石油类(水)</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水质石油类的测定紫外分光光度法(试行) HJ970-2018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8</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石油类(水)</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水质 石油类和动植物油类的测定 红外分光光度法 HJ 637-2018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9</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动植物油</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水质 石油类和动植物油类的测定 红外分光光度法 HJ 637-2018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10</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苯系物(气)</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固定污染源废气 苯系物的测定 气袋采样/直接进样-气相色谱法（HJ 1261-2022）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7" w:hRule="atLeast"/>
        </w:trPr>
        <w:tc>
          <w:tcPr>
            <w:tcW w:w="888" w:type="dxa"/>
            <w:vAlign w:val="center"/>
          </w:tcPr>
          <w:p>
            <w:pPr>
              <w:widowControl/>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11</w:t>
            </w:r>
          </w:p>
        </w:tc>
        <w:tc>
          <w:tcPr>
            <w:tcW w:w="164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苯系物(气)</w:t>
            </w:r>
          </w:p>
        </w:tc>
        <w:tc>
          <w:tcPr>
            <w:tcW w:w="6811" w:type="dxa"/>
            <w:vAlign w:val="center"/>
          </w:tcPr>
          <w:p>
            <w:pPr>
              <w:widowControl/>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工业涂装工序挥发性有机物排放标准（DB35/ 1783—2018）中附录E固定污染源废气 苯系物的测定 气袋采样-气相色谱法</w:t>
            </w:r>
          </w:p>
        </w:tc>
      </w:tr>
    </w:tbl>
    <w:p>
      <w:pPr>
        <w:pStyle w:val="8"/>
        <w:shd w:val="clear" w:color="auto" w:fill="FFFFFF"/>
        <w:wordWrap w:val="0"/>
        <w:spacing w:before="0" w:beforeAutospacing="0" w:after="0" w:afterAutospacing="0"/>
        <w:jc w:val="right"/>
        <w:rPr>
          <w:rFonts w:ascii="微软雅黑" w:hAnsi="微软雅黑" w:eastAsia="微软雅黑"/>
          <w:color w:val="333333"/>
        </w:rPr>
      </w:pPr>
      <w:r>
        <w:rPr>
          <w:rFonts w:hint="eastAsia" w:ascii="微软雅黑" w:hAnsi="微软雅黑" w:eastAsia="微软雅黑"/>
          <w:color w:val="333333"/>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å¾®è½¯é›…é»‘">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3MWViM2Y3YmMzOTlmMzFjOTRiYTE2YTY5MTBkYzMifQ=="/>
  </w:docVars>
  <w:rsids>
    <w:rsidRoot w:val="00174B49"/>
    <w:rsid w:val="00174B49"/>
    <w:rsid w:val="001D663B"/>
    <w:rsid w:val="002E277D"/>
    <w:rsid w:val="00620241"/>
    <w:rsid w:val="00646D48"/>
    <w:rsid w:val="00691EFC"/>
    <w:rsid w:val="007252EC"/>
    <w:rsid w:val="00764C2D"/>
    <w:rsid w:val="00AA31EB"/>
    <w:rsid w:val="1295728D"/>
    <w:rsid w:val="163E272C"/>
    <w:rsid w:val="171F22F7"/>
    <w:rsid w:val="1EB16603"/>
    <w:rsid w:val="272A364F"/>
    <w:rsid w:val="29C33DFC"/>
    <w:rsid w:val="2CCA38B7"/>
    <w:rsid w:val="2E19291F"/>
    <w:rsid w:val="4A33111A"/>
    <w:rsid w:val="4FA24C5D"/>
    <w:rsid w:val="591F53FA"/>
    <w:rsid w:val="5DFF2912"/>
    <w:rsid w:val="60893869"/>
    <w:rsid w:val="6ACB172E"/>
    <w:rsid w:val="7F770F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3"/>
    <w:next w:val="1"/>
    <w:unhideWhenUsed/>
    <w:qFormat/>
    <w:uiPriority w:val="9"/>
    <w:pPr>
      <w:spacing w:before="100" w:beforeAutospacing="1" w:after="100" w:afterAutospacing="1"/>
      <w:outlineLvl w:val="2"/>
    </w:pPr>
    <w:rPr>
      <w:rFonts w:hint="eastAsia" w:ascii="宋体" w:hAnsi="宋体" w:eastAsia="宋体" w:cs="宋体"/>
      <w:sz w:val="21"/>
      <w:szCs w:val="21"/>
      <w:lang w:val="en-US" w:eastAsia="zh-CN" w:bidi="ar-SA"/>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uiPriority w:val="0"/>
    <w:pPr>
      <w:ind w:firstLine="420" w:firstLineChars="200"/>
    </w:pPr>
  </w:style>
  <w:style w:type="paragraph" w:styleId="3">
    <w:name w:val="Body Text Indent"/>
    <w:basedOn w:val="1"/>
    <w:unhideWhenUsed/>
    <w:uiPriority w:val="0"/>
    <w:pPr>
      <w:spacing w:after="120"/>
      <w:ind w:left="420" w:leftChars="200"/>
    </w:p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paragraph" w:customStyle="1" w:styleId="12">
    <w:name w:val="列出段落1"/>
    <w:basedOn w:val="1"/>
    <w:qFormat/>
    <w:uiPriority w:val="0"/>
    <w:pPr>
      <w:ind w:firstLine="420" w:firstLineChars="200"/>
    </w:pPr>
    <w:rPr>
      <w:rFonts w:eastAsia="仿宋" w:cs="Arial"/>
      <w:sz w:val="32"/>
    </w:rPr>
  </w:style>
  <w:style w:type="character" w:customStyle="1" w:styleId="13">
    <w:name w:val="页眉 Char"/>
    <w:basedOn w:val="10"/>
    <w:link w:val="7"/>
    <w:qFormat/>
    <w:uiPriority w:val="99"/>
    <w:rPr>
      <w:sz w:val="18"/>
      <w:szCs w:val="18"/>
    </w:rPr>
  </w:style>
  <w:style w:type="character" w:customStyle="1" w:styleId="14">
    <w:name w:val="页脚 Char"/>
    <w:basedOn w:val="10"/>
    <w:link w:val="6"/>
    <w:semiHidden/>
    <w:uiPriority w:val="99"/>
    <w:rPr>
      <w:sz w:val="18"/>
      <w:szCs w:val="18"/>
    </w:rPr>
  </w:style>
  <w:style w:type="character" w:customStyle="1" w:styleId="15">
    <w:name w:val="标题 2 Char"/>
    <w:basedOn w:val="10"/>
    <w:link w:val="4"/>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198</Words>
  <Characters>1130</Characters>
  <Lines>9</Lines>
  <Paragraphs>2</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2021-11-29T02:11:00Z</dcterms:created>
  <dc:creator>Administrator</dc:creator>
  <cp:lastModifiedBy>君子攸宁</cp:lastModifiedBy>
  <cp:lastPrinted>2024-04-17T02:01:00Z</cp:lastPrinted>
  <dcterms:modified xsi:type="dcterms:W3CDTF">2024-04-19T08:38:16Z</dcterms:modified>
  <dc:title>福州市连江生态环境局关于资质认定复评审与扩项评审辅助性工作项目的询价采购公告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28DFBBB6CAEC4297B163F9AA183C98C9_13</vt:lpwstr>
  </property>
</Properties>
</file>