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rPr>
        <w:t>附</w:t>
      </w:r>
      <w:r>
        <w:rPr>
          <w:rFonts w:hint="eastAsia" w:ascii="黑体" w:hAnsi="黑体" w:eastAsia="黑体" w:cs="黑体"/>
          <w:sz w:val="32"/>
          <w:szCs w:val="32"/>
          <w:lang w:eastAsia="zh-CN"/>
        </w:rPr>
        <w:t>件</w:t>
      </w:r>
    </w:p>
    <w:p>
      <w:pPr>
        <w:keepNext w:val="0"/>
        <w:keepLines w:val="0"/>
        <w:pageBreakBefore w:val="0"/>
        <w:widowControl w:val="0"/>
        <w:kinsoku/>
        <w:wordWrap/>
        <w:overflowPunct/>
        <w:topLinePunct w:val="0"/>
        <w:autoSpaceDE/>
        <w:autoSpaceDN/>
        <w:bidi w:val="0"/>
        <w:adjustRightInd w:val="0"/>
        <w:snapToGrid w:val="0"/>
        <w:spacing w:line="408" w:lineRule="auto"/>
        <w:jc w:val="both"/>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rPr>
        <w:t>入海河流总氮治理与</w:t>
      </w:r>
      <w:bookmarkStart w:id="0" w:name="_GoBack"/>
      <w:bookmarkEnd w:id="0"/>
      <w:r>
        <w:rPr>
          <w:rFonts w:hint="eastAsia" w:ascii="方正小标宋_GBK" w:hAnsi="方正小标宋_GBK" w:eastAsia="方正小标宋_GBK" w:cs="方正小标宋_GBK"/>
          <w:sz w:val="44"/>
          <w:szCs w:val="44"/>
        </w:rPr>
        <w:t>管控方案</w:t>
      </w:r>
      <w:r>
        <w:rPr>
          <w:rFonts w:hint="eastAsia" w:ascii="方正小标宋_GBK" w:hAnsi="方正小标宋_GBK" w:eastAsia="方正小标宋_GBK" w:cs="方正小标宋_GBK"/>
          <w:sz w:val="44"/>
          <w:szCs w:val="44"/>
          <w:lang w:val="en-US" w:eastAsia="zh-CN"/>
        </w:rPr>
        <w:t>编制大纲</w:t>
      </w:r>
    </w:p>
    <w:p>
      <w:pPr>
        <w:keepNext w:val="0"/>
        <w:keepLines w:val="0"/>
        <w:pageBreakBefore w:val="0"/>
        <w:widowControl w:val="0"/>
        <w:kinsoku/>
        <w:wordWrap/>
        <w:overflowPunct/>
        <w:topLinePunct w:val="0"/>
        <w:autoSpaceDE/>
        <w:autoSpaceDN/>
        <w:bidi w:val="0"/>
        <w:adjustRightInd w:val="0"/>
        <w:snapToGrid w:val="0"/>
        <w:spacing w:line="408" w:lineRule="auto"/>
        <w:jc w:val="both"/>
        <w:textAlignment w:val="auto"/>
        <w:rPr>
          <w:rFonts w:hint="eastAsia" w:ascii="黑体" w:hAnsi="黑体" w:eastAsia="黑体" w:cs="黑体"/>
          <w:sz w:val="32"/>
          <w:szCs w:val="32"/>
        </w:rPr>
      </w:pPr>
    </w:p>
    <w:p>
      <w:pPr>
        <w:pStyle w:val="11"/>
        <w:keepNext w:val="0"/>
        <w:keepLines w:val="0"/>
        <w:pageBreakBefore w:val="0"/>
        <w:widowControl w:val="0"/>
        <w:tabs>
          <w:tab w:val="left" w:pos="426"/>
          <w:tab w:val="left" w:pos="709"/>
        </w:tabs>
        <w:kinsoku/>
        <w:wordWrap/>
        <w:overflowPunct/>
        <w:topLinePunct w:val="0"/>
        <w:autoSpaceDE/>
        <w:autoSpaceDN/>
        <w:bidi w:val="0"/>
        <w:adjustRightInd w:val="0"/>
        <w:snapToGrid w:val="0"/>
        <w:spacing w:line="365" w:lineRule="auto"/>
        <w:ind w:firstLine="640" w:firstLineChars="200"/>
        <w:textAlignment w:val="auto"/>
        <w:outlineLvl w:val="0"/>
        <w:rPr>
          <w:rFonts w:hint="eastAsia" w:ascii="黑体" w:hAnsi="黑体" w:eastAsia="黑体" w:cs="黑体"/>
          <w:sz w:val="32"/>
          <w:szCs w:val="32"/>
        </w:rPr>
      </w:pPr>
      <w:r>
        <w:rPr>
          <w:rFonts w:hint="eastAsia" w:ascii="黑体" w:hAnsi="黑体" w:eastAsia="黑体" w:cs="黑体"/>
          <w:sz w:val="32"/>
          <w:szCs w:val="32"/>
        </w:rPr>
        <w:t>一、工作背景</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（一）入海河流基本情况</w:t>
      </w:r>
    </w:p>
    <w:p>
      <w:pPr>
        <w:keepNext w:val="0"/>
        <w:keepLines w:val="0"/>
        <w:pageBreakBefore w:val="0"/>
        <w:widowControl w:val="0"/>
        <w:kinsoku/>
        <w:wordWrap/>
        <w:overflowPunct/>
        <w:topLinePunct w:val="0"/>
        <w:autoSpaceDE/>
        <w:autoSpaceDN/>
        <w:bidi w:val="0"/>
        <w:adjustRightInd w:val="0"/>
        <w:snapToGrid w:val="0"/>
        <w:spacing w:line="365" w:lineRule="auto"/>
        <w:ind w:firstLine="616" w:firstLineChars="200"/>
        <w:textAlignment w:val="auto"/>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简要说明该条入海河流的流域范围，在沿海地市或沿海省份监测断面设置与总氮监测情况，入海径流量</w:t>
      </w:r>
      <w:r>
        <w:rPr>
          <w:rFonts w:hint="eastAsia" w:ascii="仿宋_GB2312" w:hAnsi="仿宋_GB2312" w:eastAsia="仿宋_GB2312" w:cs="仿宋_GB2312"/>
          <w:spacing w:val="-6"/>
          <w:sz w:val="32"/>
          <w:szCs w:val="32"/>
          <w:lang w:val="en-US" w:eastAsia="zh-CN"/>
        </w:rPr>
        <w:t>年际</w:t>
      </w:r>
      <w:r>
        <w:rPr>
          <w:rFonts w:hint="eastAsia" w:ascii="仿宋_GB2312" w:hAnsi="仿宋_GB2312" w:eastAsia="仿宋_GB2312" w:cs="仿宋_GB2312"/>
          <w:spacing w:val="-6"/>
          <w:sz w:val="32"/>
          <w:szCs w:val="32"/>
          <w:lang w:eastAsia="zh-CN"/>
        </w:rPr>
        <w:t>、</w:t>
      </w:r>
      <w:r>
        <w:rPr>
          <w:rFonts w:hint="eastAsia" w:ascii="仿宋_GB2312" w:hAnsi="仿宋_GB2312" w:eastAsia="仿宋_GB2312" w:cs="仿宋_GB2312"/>
          <w:spacing w:val="-6"/>
          <w:sz w:val="32"/>
          <w:szCs w:val="32"/>
          <w:lang w:val="en-US" w:eastAsia="zh-CN"/>
        </w:rPr>
        <w:t>年内</w:t>
      </w:r>
      <w:r>
        <w:rPr>
          <w:rFonts w:hint="eastAsia" w:ascii="仿宋_GB2312" w:hAnsi="仿宋_GB2312" w:eastAsia="仿宋_GB2312" w:cs="仿宋_GB2312"/>
          <w:spacing w:val="-6"/>
          <w:sz w:val="32"/>
          <w:szCs w:val="32"/>
        </w:rPr>
        <w:t>变化等。</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（二）入海河流环境整治进展与成效</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sz w:val="32"/>
          <w:szCs w:val="32"/>
        </w:rPr>
        <w:t>总结“十三五”“十四五”以来入海河流环境整治，特别是总氮污染防治相关工作开展情况、主要措施及成效等。</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（三）面临形势与问题</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简要说明“十三五”以来，河流入海断面总氮浓度的变化情况，特别是2021年以来总氮浓度与基准年（2020年）相比的变化情况。</w:t>
      </w:r>
    </w:p>
    <w:p>
      <w:pPr>
        <w:pStyle w:val="11"/>
        <w:keepNext w:val="0"/>
        <w:keepLines w:val="0"/>
        <w:pageBreakBefore w:val="0"/>
        <w:widowControl w:val="0"/>
        <w:tabs>
          <w:tab w:val="left" w:pos="426"/>
          <w:tab w:val="left" w:pos="709"/>
        </w:tabs>
        <w:kinsoku/>
        <w:wordWrap/>
        <w:overflowPunct/>
        <w:topLinePunct w:val="0"/>
        <w:autoSpaceDE/>
        <w:autoSpaceDN/>
        <w:bidi w:val="0"/>
        <w:adjustRightInd w:val="0"/>
        <w:snapToGrid w:val="0"/>
        <w:spacing w:line="365" w:lineRule="auto"/>
        <w:ind w:firstLine="640" w:firstLineChars="200"/>
        <w:textAlignment w:val="auto"/>
        <w:outlineLvl w:val="0"/>
        <w:rPr>
          <w:rFonts w:hint="eastAsia" w:ascii="黑体" w:hAnsi="黑体" w:eastAsia="黑体" w:cs="黑体"/>
          <w:sz w:val="32"/>
          <w:szCs w:val="32"/>
        </w:rPr>
      </w:pPr>
      <w:r>
        <w:rPr>
          <w:rFonts w:hint="eastAsia" w:ascii="黑体" w:hAnsi="黑体" w:eastAsia="黑体" w:cs="黑体"/>
          <w:sz w:val="32"/>
          <w:szCs w:val="32"/>
        </w:rPr>
        <w:t>二、入海河流总氮污染状况及溯源分析</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（一）入海河流总氮排放及影响分析</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1.入海河流总氮浓度及排海量分析</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依据国控、省控、市控河流入海断面的水质监测结果，分析总氮浓度的年际、年内变化特征。</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结合河流入海径流量监测与统计数据等资料，评估入海河流总氮排海量的年际、年内变化特征。</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2.入海河流总氮排放对近岸海域水质影响分析</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依据国控、省控监测点位的近岸海域水质结果，分析入海河流毗邻近岸海域水体无机氮浓度和各类水质面积的年际、年内变化特征。</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结合入海河流总氮排海</w:t>
      </w:r>
      <w:r>
        <w:rPr>
          <w:rFonts w:hint="eastAsia" w:ascii="仿宋_GB2312" w:hAnsi="仿宋_GB2312" w:eastAsia="仿宋_GB2312" w:cs="仿宋_GB2312"/>
          <w:sz w:val="32"/>
          <w:szCs w:val="32"/>
          <w:lang w:eastAsia="zh-CN"/>
        </w:rPr>
        <w:t>通</w:t>
      </w:r>
      <w:r>
        <w:rPr>
          <w:rFonts w:hint="eastAsia" w:ascii="仿宋_GB2312" w:hAnsi="仿宋_GB2312" w:eastAsia="仿宋_GB2312" w:cs="仿宋_GB2312"/>
          <w:sz w:val="32"/>
          <w:szCs w:val="32"/>
        </w:rPr>
        <w:t>量的年际、年内变化特征等，分析评估入海河流</w:t>
      </w:r>
      <w:r>
        <w:rPr>
          <w:rFonts w:hint="eastAsia" w:ascii="仿宋_GB2312" w:hAnsi="仿宋_GB2312" w:eastAsia="仿宋_GB2312" w:cs="仿宋_GB2312"/>
          <w:sz w:val="32"/>
          <w:szCs w:val="32"/>
          <w:lang w:val="en-US" w:eastAsia="zh-CN"/>
        </w:rPr>
        <w:t>总氮排海通量</w:t>
      </w:r>
      <w:r>
        <w:rPr>
          <w:rFonts w:hint="eastAsia" w:ascii="仿宋_GB2312" w:hAnsi="仿宋_GB2312" w:eastAsia="仿宋_GB2312" w:cs="仿宋_GB2312"/>
          <w:sz w:val="32"/>
          <w:szCs w:val="32"/>
        </w:rPr>
        <w:t>对近岸海域水质</w:t>
      </w:r>
      <w:r>
        <w:rPr>
          <w:rFonts w:hint="eastAsia" w:ascii="仿宋_GB2312" w:hAnsi="仿宋_GB2312" w:eastAsia="仿宋_GB2312" w:cs="仿宋_GB2312"/>
          <w:sz w:val="32"/>
          <w:szCs w:val="32"/>
          <w:lang w:eastAsia="zh-CN"/>
        </w:rPr>
        <w:t>年际、季节变化等的</w:t>
      </w:r>
      <w:r>
        <w:rPr>
          <w:rFonts w:hint="eastAsia" w:ascii="仿宋_GB2312" w:hAnsi="仿宋_GB2312" w:eastAsia="仿宋_GB2312" w:cs="仿宋_GB2312"/>
          <w:sz w:val="32"/>
          <w:szCs w:val="32"/>
        </w:rPr>
        <w:t>影响。</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（二）入海河流总氮污染溯源分析</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1.入海河流总氮污染问题断面识别</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依据入海河流流域的国控、省控、市控断面与各支流水质监测结果，分析入海河流总氮浓度的上下游沿程变化趋势，识别入海河流及其支流总氮污染的主要问题断面，作为后续治理与管控的主要断面。</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对于跨地市或跨省断面，可结合相应水文站的河流径流量数据等，评估相关</w:t>
      </w:r>
      <w:r>
        <w:rPr>
          <w:rFonts w:hint="eastAsia" w:ascii="仿宋_GB2312" w:hAnsi="仿宋_GB2312" w:eastAsia="仿宋_GB2312" w:cs="仿宋_GB2312"/>
          <w:sz w:val="32"/>
          <w:szCs w:val="32"/>
          <w:lang w:val="en-US" w:eastAsia="zh-CN"/>
        </w:rPr>
        <w:t>上游地市或上游省份总氮入境通量</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年际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年内变化，</w:t>
      </w:r>
      <w:r>
        <w:rPr>
          <w:rFonts w:hint="eastAsia" w:ascii="仿宋_GB2312" w:hAnsi="仿宋_GB2312" w:eastAsia="仿宋_GB2312" w:cs="仿宋_GB2312"/>
          <w:sz w:val="32"/>
          <w:szCs w:val="32"/>
          <w:lang w:val="en-US" w:eastAsia="zh-CN"/>
        </w:rPr>
        <w:t>及其</w:t>
      </w:r>
      <w:r>
        <w:rPr>
          <w:rFonts w:hint="eastAsia" w:ascii="仿宋_GB2312" w:hAnsi="仿宋_GB2312" w:eastAsia="仿宋_GB2312" w:cs="仿宋_GB2312"/>
          <w:sz w:val="32"/>
          <w:szCs w:val="32"/>
        </w:rPr>
        <w:t>对入海河流总氮排海通量的贡献等</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2.入海河流流域总氮来源评估</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依据排污许可执行报告、排放源统计、执法监测数据等，评估入海河流</w:t>
      </w:r>
      <w:r>
        <w:rPr>
          <w:rFonts w:hint="eastAsia" w:ascii="仿宋_GB2312" w:hAnsi="仿宋_GB2312" w:eastAsia="仿宋_GB2312" w:cs="仿宋_GB2312"/>
          <w:sz w:val="32"/>
          <w:szCs w:val="32"/>
          <w:lang w:val="en-US" w:eastAsia="zh-CN"/>
        </w:rPr>
        <w:t>流域范围内各相关</w:t>
      </w:r>
      <w:r>
        <w:rPr>
          <w:rFonts w:hint="eastAsia" w:ascii="仿宋_GB2312" w:hAnsi="仿宋_GB2312" w:eastAsia="仿宋_GB2312" w:cs="仿宋_GB2312"/>
          <w:sz w:val="32"/>
          <w:szCs w:val="32"/>
        </w:rPr>
        <w:t>地市工业、生活、农业</w:t>
      </w:r>
      <w:r>
        <w:rPr>
          <w:rFonts w:hint="eastAsia" w:ascii="仿宋_GB2312" w:hAnsi="仿宋_GB2312" w:eastAsia="仿宋_GB2312" w:cs="仿宋_GB2312"/>
          <w:sz w:val="32"/>
          <w:szCs w:val="32"/>
          <w:lang w:val="en-US" w:eastAsia="zh-CN"/>
        </w:rPr>
        <w:t>等各类污染源的</w:t>
      </w:r>
      <w:r>
        <w:rPr>
          <w:rFonts w:hint="eastAsia" w:ascii="仿宋_GB2312" w:hAnsi="仿宋_GB2312" w:eastAsia="仿宋_GB2312" w:cs="仿宋_GB2312"/>
          <w:sz w:val="32"/>
          <w:szCs w:val="32"/>
        </w:rPr>
        <w:t>总氮排放</w:t>
      </w:r>
      <w:r>
        <w:rPr>
          <w:rFonts w:hint="eastAsia" w:ascii="仿宋_GB2312" w:hAnsi="仿宋_GB2312" w:eastAsia="仿宋_GB2312" w:cs="仿宋_GB2312"/>
          <w:sz w:val="32"/>
          <w:szCs w:val="32"/>
          <w:lang w:val="en-US" w:eastAsia="zh-CN"/>
        </w:rPr>
        <w:t>量</w:t>
      </w:r>
      <w:r>
        <w:rPr>
          <w:rFonts w:hint="eastAsia" w:ascii="仿宋_GB2312" w:hAnsi="仿宋_GB2312" w:eastAsia="仿宋_GB2312" w:cs="仿宋_GB2312"/>
          <w:sz w:val="32"/>
          <w:szCs w:val="32"/>
        </w:rPr>
        <w:t>与入河量，</w:t>
      </w:r>
      <w:r>
        <w:rPr>
          <w:rFonts w:hint="eastAsia" w:ascii="仿宋_GB2312" w:hAnsi="仿宋_GB2312" w:eastAsia="仿宋_GB2312" w:cs="仿宋_GB2312"/>
          <w:sz w:val="32"/>
          <w:szCs w:val="32"/>
          <w:lang w:val="en-US" w:eastAsia="zh-CN"/>
        </w:rPr>
        <w:t>明确总氮主要污染源类型，</w:t>
      </w:r>
      <w:r>
        <w:rPr>
          <w:rFonts w:hint="eastAsia" w:ascii="仿宋_GB2312" w:hAnsi="仿宋_GB2312" w:eastAsia="仿宋_GB2312" w:cs="仿宋_GB2312"/>
          <w:sz w:val="32"/>
          <w:szCs w:val="32"/>
        </w:rPr>
        <w:t>为实施</w:t>
      </w:r>
      <w:r>
        <w:rPr>
          <w:rFonts w:hint="eastAsia" w:ascii="仿宋_GB2312" w:hAnsi="仿宋_GB2312" w:eastAsia="仿宋_GB2312" w:cs="仿宋_GB2312"/>
          <w:sz w:val="32"/>
          <w:szCs w:val="32"/>
          <w:lang w:val="en-US" w:eastAsia="zh-CN"/>
        </w:rPr>
        <w:t>入海河流总氮</w:t>
      </w:r>
      <w:r>
        <w:rPr>
          <w:rFonts w:hint="eastAsia" w:ascii="仿宋_GB2312" w:hAnsi="仿宋_GB2312" w:eastAsia="仿宋_GB2312" w:cs="仿宋_GB2312"/>
          <w:sz w:val="32"/>
          <w:szCs w:val="32"/>
        </w:rPr>
        <w:t>污染治理提供依据。</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3.入海河流总氮污染溯源分析</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入海河流及其支流总氮污染的主要问题断面，并结合现场排查、加密监测、流域模型模拟等数据资料，进行入海河流总氮溯源分析，识别总氮污染主要来源，进一步细化明确总氮控制的重点区域、重点时段、重点行业等，精准识别</w:t>
      </w:r>
      <w:r>
        <w:rPr>
          <w:rFonts w:hint="eastAsia" w:ascii="仿宋_GB2312" w:hAnsi="仿宋_GB2312" w:eastAsia="仿宋_GB2312" w:cs="仿宋_GB2312"/>
          <w:sz w:val="32"/>
          <w:szCs w:val="32"/>
          <w:lang w:val="en-US" w:eastAsia="zh-CN"/>
        </w:rPr>
        <w:t>总氮</w:t>
      </w:r>
      <w:r>
        <w:rPr>
          <w:rFonts w:hint="eastAsia" w:ascii="仿宋_GB2312" w:hAnsi="仿宋_GB2312" w:eastAsia="仿宋_GB2312" w:cs="仿宋_GB2312"/>
          <w:sz w:val="32"/>
          <w:szCs w:val="32"/>
        </w:rPr>
        <w:t>治理与管控的重点对象。</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（三）入海河流总氮污染症结与成因分析</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针对总氮污染主要来源，重点分析入海河流流域范围内的种植业化肥农药施用、畜禽养殖粪污处置利用、城镇和农村生活污水收集处理、涉氮重点行业总氮</w:t>
      </w:r>
      <w:r>
        <w:rPr>
          <w:rFonts w:hint="eastAsia" w:ascii="仿宋_GB2312" w:hAnsi="仿宋_GB2312" w:eastAsia="仿宋_GB2312" w:cs="仿宋_GB2312"/>
          <w:sz w:val="32"/>
          <w:szCs w:val="32"/>
          <w:lang w:val="en-US" w:eastAsia="zh-CN"/>
        </w:rPr>
        <w:t>治理</w:t>
      </w:r>
      <w:r>
        <w:rPr>
          <w:rFonts w:hint="eastAsia" w:ascii="仿宋_GB2312" w:hAnsi="仿宋_GB2312" w:eastAsia="仿宋_GB2312" w:cs="仿宋_GB2312"/>
          <w:sz w:val="32"/>
          <w:szCs w:val="32"/>
        </w:rPr>
        <w:t>、闸坝或引调水影响等，以及总氮控制监督管理、长效机制等方面存在的突出问题及</w:t>
      </w:r>
      <w:r>
        <w:rPr>
          <w:rFonts w:hint="eastAsia" w:ascii="仿宋_GB2312" w:hAnsi="仿宋_GB2312" w:eastAsia="仿宋_GB2312" w:cs="仿宋_GB2312"/>
          <w:sz w:val="32"/>
          <w:szCs w:val="32"/>
          <w:lang w:val="en-US" w:eastAsia="zh-CN"/>
        </w:rPr>
        <w:t>症结</w:t>
      </w:r>
      <w:r>
        <w:rPr>
          <w:rFonts w:hint="eastAsia" w:ascii="仿宋_GB2312" w:hAnsi="仿宋_GB2312" w:eastAsia="仿宋_GB2312" w:cs="仿宋_GB2312"/>
          <w:sz w:val="32"/>
          <w:szCs w:val="32"/>
        </w:rPr>
        <w:t>成因。</w:t>
      </w:r>
    </w:p>
    <w:p>
      <w:pPr>
        <w:pStyle w:val="11"/>
        <w:keepNext w:val="0"/>
        <w:keepLines w:val="0"/>
        <w:pageBreakBefore w:val="0"/>
        <w:widowControl w:val="0"/>
        <w:tabs>
          <w:tab w:val="left" w:pos="426"/>
          <w:tab w:val="left" w:pos="709"/>
        </w:tabs>
        <w:kinsoku/>
        <w:wordWrap/>
        <w:overflowPunct/>
        <w:topLinePunct w:val="0"/>
        <w:autoSpaceDE/>
        <w:autoSpaceDN/>
        <w:bidi w:val="0"/>
        <w:adjustRightInd w:val="0"/>
        <w:snapToGrid w:val="0"/>
        <w:spacing w:line="365" w:lineRule="auto"/>
        <w:ind w:firstLine="640" w:firstLineChars="200"/>
        <w:textAlignment w:val="auto"/>
        <w:outlineLvl w:val="0"/>
        <w:rPr>
          <w:rFonts w:hint="eastAsia" w:ascii="黑体" w:hAnsi="黑体" w:eastAsia="黑体" w:cs="黑体"/>
          <w:sz w:val="32"/>
          <w:szCs w:val="32"/>
        </w:rPr>
      </w:pPr>
      <w:r>
        <w:rPr>
          <w:rFonts w:hint="eastAsia" w:ascii="黑体" w:hAnsi="黑体" w:eastAsia="黑体" w:cs="黑体"/>
          <w:sz w:val="32"/>
          <w:szCs w:val="32"/>
        </w:rPr>
        <w:t>三、总体要求</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（一）治理与管控范围和时限</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入海河流总氮污染溯源及症结成因分析结果，按照陆海统筹、因地制宜、管治结合的原则，明确入海河流总氮治理与管控所涉及的上下游相关市县级行政区域范围。入海河流上下游不同区域的治理管控要求不搞一刀切，可以采取“系统治理+重点攻坚”的模式，根据不同区域对总氮排海通量贡献率的大小等，提出不同的治理与管控要求。</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于总氮排海通量大的入海河流，以及总氮浓度相比2020年明显反弹的入海河流，要重点加强总氮污染溯源和源头治理，着力削减总氮排海通量；对于总氮排海通量贡献率较低，以及总氮浓度相比2020年保持稳定或持续下降的入海河流，要重点加强入海河流的常态化监测监管，防止总氮浓度反弹。</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pacing w:val="0"/>
          <w:sz w:val="32"/>
          <w:szCs w:val="32"/>
        </w:rPr>
      </w:pPr>
      <w:r>
        <w:rPr>
          <w:rFonts w:hint="eastAsia" w:ascii="仿宋_GB2312" w:hAnsi="仿宋_GB2312" w:eastAsia="仿宋_GB2312" w:cs="仿宋_GB2312"/>
          <w:spacing w:val="0"/>
          <w:sz w:val="32"/>
          <w:szCs w:val="32"/>
        </w:rPr>
        <w:t>方案基准年为2020年，近期时限至2025年，中期时限至2027年。</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（二）治理与管控目标</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1.总氮浓度控制目标</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围绕《</w:t>
      </w:r>
      <w:r>
        <w:rPr>
          <w:rFonts w:hint="eastAsia" w:ascii="仿宋_GB2312" w:hAnsi="仿宋_GB2312" w:eastAsia="仿宋_GB2312" w:cs="仿宋_GB2312"/>
          <w:sz w:val="32"/>
          <w:szCs w:val="32"/>
          <w:lang w:val="en-US" w:eastAsia="zh-CN"/>
        </w:rPr>
        <w:t>重点海域综合治理攻坚战</w:t>
      </w:r>
      <w:r>
        <w:rPr>
          <w:rFonts w:hint="eastAsia" w:ascii="仿宋_GB2312" w:hAnsi="仿宋_GB2312" w:eastAsia="仿宋_GB2312" w:cs="仿宋_GB2312"/>
          <w:sz w:val="32"/>
          <w:szCs w:val="32"/>
        </w:rPr>
        <w:t>行动方案》明确的“十四五”国控入海断面总氮浓度控制目标、近岸海域水质优良比例目标要求等，综合分析</w:t>
      </w:r>
      <w:r>
        <w:rPr>
          <w:rFonts w:hint="eastAsia" w:ascii="仿宋_GB2312" w:hAnsi="仿宋_GB2312" w:eastAsia="仿宋_GB2312" w:cs="仿宋_GB2312"/>
          <w:sz w:val="32"/>
          <w:szCs w:val="32"/>
          <w:lang w:val="en-US" w:eastAsia="zh-CN"/>
        </w:rPr>
        <w:t>入海河流总氮浓度沿程变化特征、</w:t>
      </w:r>
      <w:r>
        <w:rPr>
          <w:rFonts w:hint="eastAsia" w:ascii="仿宋_GB2312" w:hAnsi="仿宋_GB2312" w:eastAsia="仿宋_GB2312" w:cs="仿宋_GB2312"/>
          <w:sz w:val="32"/>
          <w:szCs w:val="32"/>
        </w:rPr>
        <w:t>入海河流总氮溯源分析结果、入海河流</w:t>
      </w:r>
      <w:r>
        <w:rPr>
          <w:rFonts w:hint="eastAsia" w:ascii="仿宋_GB2312" w:hAnsi="仿宋_GB2312" w:eastAsia="仿宋_GB2312" w:cs="仿宋_GB2312"/>
          <w:sz w:val="32"/>
          <w:szCs w:val="32"/>
          <w:lang w:val="en-US" w:eastAsia="zh-CN"/>
        </w:rPr>
        <w:t>总氮排海通量与</w:t>
      </w:r>
      <w:r>
        <w:rPr>
          <w:rFonts w:hint="eastAsia" w:ascii="仿宋_GB2312" w:hAnsi="仿宋_GB2312" w:eastAsia="仿宋_GB2312" w:cs="仿宋_GB2312"/>
          <w:sz w:val="32"/>
          <w:szCs w:val="32"/>
        </w:rPr>
        <w:t>近岸海域</w:t>
      </w:r>
      <w:r>
        <w:rPr>
          <w:rFonts w:hint="eastAsia" w:ascii="仿宋_GB2312" w:hAnsi="仿宋_GB2312" w:eastAsia="仿宋_GB2312" w:cs="仿宋_GB2312"/>
          <w:sz w:val="32"/>
          <w:szCs w:val="32"/>
          <w:lang w:val="en-US" w:eastAsia="zh-CN"/>
        </w:rPr>
        <w:t>水质之间的</w:t>
      </w:r>
      <w:r>
        <w:rPr>
          <w:rFonts w:hint="eastAsia" w:ascii="仿宋_GB2312" w:hAnsi="仿宋_GB2312" w:eastAsia="仿宋_GB2312" w:cs="仿宋_GB2312"/>
          <w:sz w:val="32"/>
          <w:szCs w:val="32"/>
        </w:rPr>
        <w:t>源汇响应关系等，筛选流域范围内总氮控制关键断面。</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围绕</w:t>
      </w:r>
      <w:r>
        <w:rPr>
          <w:rFonts w:hint="eastAsia" w:ascii="仿宋_GB2312" w:hAnsi="仿宋_GB2312" w:eastAsia="仿宋_GB2312" w:cs="仿宋_GB2312"/>
          <w:sz w:val="32"/>
          <w:szCs w:val="32"/>
          <w:lang w:val="en-US" w:eastAsia="zh-CN"/>
        </w:rPr>
        <w:t>国控</w:t>
      </w:r>
      <w:r>
        <w:rPr>
          <w:rFonts w:hint="eastAsia" w:ascii="仿宋_GB2312" w:hAnsi="仿宋_GB2312" w:eastAsia="仿宋_GB2312" w:cs="仿宋_GB2312"/>
          <w:sz w:val="32"/>
          <w:szCs w:val="32"/>
        </w:rPr>
        <w:t>入海</w:t>
      </w:r>
      <w:r>
        <w:rPr>
          <w:rFonts w:hint="eastAsia" w:ascii="仿宋_GB2312" w:hAnsi="仿宋_GB2312" w:eastAsia="仿宋_GB2312" w:cs="仿宋_GB2312"/>
          <w:sz w:val="32"/>
          <w:szCs w:val="32"/>
          <w:lang w:val="en-US" w:eastAsia="zh-CN"/>
        </w:rPr>
        <w:t>断面</w:t>
      </w:r>
      <w:r>
        <w:rPr>
          <w:rFonts w:hint="eastAsia" w:ascii="仿宋_GB2312" w:hAnsi="仿宋_GB2312" w:eastAsia="仿宋_GB2312" w:cs="仿宋_GB2312"/>
          <w:sz w:val="32"/>
          <w:szCs w:val="32"/>
        </w:rPr>
        <w:t>总氮浓度目标，鼓励采用流域模型、河流水质模型等，</w:t>
      </w:r>
      <w:r>
        <w:rPr>
          <w:rFonts w:hint="eastAsia" w:ascii="仿宋_GB2312" w:hAnsi="仿宋_GB2312" w:eastAsia="仿宋_GB2312" w:cs="仿宋_GB2312"/>
          <w:sz w:val="32"/>
          <w:szCs w:val="32"/>
          <w:highlight w:val="none"/>
        </w:rPr>
        <w:t>建立总氮排放量与河流总氮浓度之间的定量响应关系，也可定性或半定量建立总氮排放量与</w:t>
      </w:r>
      <w:r>
        <w:rPr>
          <w:rFonts w:hint="eastAsia" w:ascii="仿宋_GB2312" w:hAnsi="仿宋_GB2312" w:eastAsia="仿宋_GB2312" w:cs="仿宋_GB2312"/>
          <w:sz w:val="32"/>
          <w:szCs w:val="32"/>
          <w:highlight w:val="none"/>
          <w:lang w:val="en-US" w:eastAsia="zh-CN"/>
        </w:rPr>
        <w:t>河流总氮</w:t>
      </w:r>
      <w:r>
        <w:rPr>
          <w:rFonts w:hint="eastAsia" w:ascii="仿宋_GB2312" w:hAnsi="仿宋_GB2312" w:eastAsia="仿宋_GB2312" w:cs="仿宋_GB2312"/>
          <w:sz w:val="32"/>
          <w:szCs w:val="32"/>
          <w:highlight w:val="none"/>
        </w:rPr>
        <w:t>浓度之间的关系</w:t>
      </w:r>
      <w:r>
        <w:rPr>
          <w:rFonts w:hint="eastAsia" w:ascii="仿宋_GB2312" w:hAnsi="仿宋_GB2312" w:eastAsia="仿宋_GB2312" w:cs="仿宋_GB2312"/>
          <w:sz w:val="32"/>
          <w:szCs w:val="32"/>
        </w:rPr>
        <w:t>，在此基础上制定除国控入海断面之外其他</w:t>
      </w:r>
      <w:r>
        <w:rPr>
          <w:rFonts w:hint="eastAsia" w:ascii="仿宋_GB2312" w:hAnsi="仿宋_GB2312" w:eastAsia="仿宋_GB2312" w:cs="仿宋_GB2312"/>
          <w:sz w:val="32"/>
          <w:szCs w:val="32"/>
          <w:lang w:val="en-US" w:eastAsia="zh-CN"/>
        </w:rPr>
        <w:t>关键</w:t>
      </w:r>
      <w:r>
        <w:rPr>
          <w:rFonts w:hint="eastAsia" w:ascii="仿宋_GB2312" w:hAnsi="仿宋_GB2312" w:eastAsia="仿宋_GB2312" w:cs="仿宋_GB2312"/>
          <w:sz w:val="32"/>
          <w:szCs w:val="32"/>
        </w:rPr>
        <w:t>断面的总氮浓度控制目标。</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2.总氮</w:t>
      </w:r>
      <w:r>
        <w:rPr>
          <w:rFonts w:hint="eastAsia" w:ascii="仿宋_GB2312" w:hAnsi="仿宋_GB2312" w:eastAsia="仿宋_GB2312" w:cs="仿宋_GB2312"/>
          <w:b/>
          <w:bCs/>
          <w:sz w:val="32"/>
          <w:szCs w:val="32"/>
          <w:lang w:val="en-US" w:eastAsia="zh-CN"/>
        </w:rPr>
        <w:t>削减量</w:t>
      </w:r>
      <w:r>
        <w:rPr>
          <w:rFonts w:hint="eastAsia" w:ascii="仿宋_GB2312" w:hAnsi="仿宋_GB2312" w:eastAsia="仿宋_GB2312" w:cs="仿宋_GB2312"/>
          <w:b/>
          <w:bCs/>
          <w:sz w:val="32"/>
          <w:szCs w:val="32"/>
        </w:rPr>
        <w:t>控制目标</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在总氮浓度控制目标</w:t>
      </w:r>
      <w:r>
        <w:rPr>
          <w:rFonts w:hint="eastAsia" w:ascii="仿宋_GB2312" w:hAnsi="仿宋_GB2312" w:eastAsia="仿宋_GB2312" w:cs="仿宋_GB2312"/>
          <w:sz w:val="32"/>
          <w:szCs w:val="32"/>
          <w:lang w:eastAsia="zh-CN"/>
        </w:rPr>
        <w:t>确定</w:t>
      </w:r>
      <w:r>
        <w:rPr>
          <w:rFonts w:hint="eastAsia" w:ascii="仿宋_GB2312" w:hAnsi="仿宋_GB2312" w:eastAsia="仿宋_GB2312" w:cs="仿宋_GB2312"/>
          <w:sz w:val="32"/>
          <w:szCs w:val="32"/>
        </w:rPr>
        <w:t>的基础上，可视工作基础情况</w:t>
      </w:r>
      <w:r>
        <w:rPr>
          <w:rFonts w:hint="eastAsia" w:ascii="仿宋_GB2312" w:hAnsi="仿宋_GB2312" w:eastAsia="仿宋_GB2312" w:cs="仿宋_GB2312"/>
          <w:sz w:val="32"/>
          <w:szCs w:val="32"/>
          <w:lang w:eastAsia="zh-CN"/>
        </w:rPr>
        <w:t>，</w:t>
      </w:r>
      <w:r>
        <w:rPr>
          <w:rFonts w:hint="eastAsia" w:ascii="仿宋_GB2312" w:hAnsi="仿宋_GB2312" w:eastAsia="仿宋_GB2312"/>
          <w:sz w:val="32"/>
          <w:szCs w:val="32"/>
        </w:rPr>
        <w:t>根据总氮排放量与河流总氮浓度之间的响应关系，</w:t>
      </w:r>
      <w:r>
        <w:rPr>
          <w:rFonts w:hint="eastAsia" w:ascii="仿宋_GB2312" w:hAnsi="仿宋_GB2312" w:eastAsia="仿宋_GB2312" w:cs="仿宋_GB2312"/>
          <w:sz w:val="32"/>
          <w:szCs w:val="32"/>
        </w:rPr>
        <w:t>进一步</w:t>
      </w:r>
      <w:r>
        <w:rPr>
          <w:rFonts w:hint="eastAsia" w:ascii="仿宋_GB2312" w:hAnsi="仿宋_GB2312" w:eastAsia="仿宋_GB2312" w:cs="仿宋_GB2312"/>
          <w:spacing w:val="0"/>
          <w:sz w:val="32"/>
          <w:szCs w:val="32"/>
        </w:rPr>
        <w:t>确</w:t>
      </w:r>
      <w:r>
        <w:rPr>
          <w:rFonts w:hint="eastAsia" w:ascii="仿宋_GB2312" w:hAnsi="仿宋_GB2312" w:eastAsia="仿宋_GB2312" w:cs="仿宋_GB2312"/>
          <w:spacing w:val="-6"/>
          <w:sz w:val="32"/>
          <w:szCs w:val="32"/>
        </w:rPr>
        <w:t>定总氮</w:t>
      </w:r>
      <w:r>
        <w:rPr>
          <w:rFonts w:hint="eastAsia" w:ascii="仿宋_GB2312" w:hAnsi="仿宋_GB2312" w:eastAsia="仿宋_GB2312" w:cs="仿宋_GB2312"/>
          <w:spacing w:val="-6"/>
          <w:sz w:val="32"/>
          <w:szCs w:val="32"/>
          <w:lang w:val="en-US" w:eastAsia="zh-CN"/>
        </w:rPr>
        <w:t>削减</w:t>
      </w:r>
      <w:r>
        <w:rPr>
          <w:rFonts w:hint="eastAsia" w:ascii="仿宋_GB2312" w:hAnsi="仿宋_GB2312" w:eastAsia="仿宋_GB2312" w:cs="仿宋_GB2312"/>
          <w:spacing w:val="-6"/>
          <w:sz w:val="32"/>
          <w:szCs w:val="32"/>
        </w:rPr>
        <w:t>量控制目标。总氮</w:t>
      </w:r>
      <w:r>
        <w:rPr>
          <w:rFonts w:hint="eastAsia" w:ascii="仿宋_GB2312" w:hAnsi="仿宋_GB2312" w:eastAsia="仿宋_GB2312" w:cs="仿宋_GB2312"/>
          <w:spacing w:val="-6"/>
          <w:sz w:val="32"/>
          <w:szCs w:val="32"/>
          <w:lang w:val="en-US" w:eastAsia="zh-CN"/>
        </w:rPr>
        <w:t>削减</w:t>
      </w:r>
      <w:r>
        <w:rPr>
          <w:rFonts w:hint="eastAsia" w:ascii="仿宋_GB2312" w:hAnsi="仿宋_GB2312" w:eastAsia="仿宋_GB2312" w:cs="仿宋_GB2312"/>
          <w:spacing w:val="-6"/>
          <w:sz w:val="32"/>
          <w:szCs w:val="32"/>
        </w:rPr>
        <w:t>量控制目标应在行政区内工业、生活、农业各类污染</w:t>
      </w:r>
      <w:r>
        <w:rPr>
          <w:rFonts w:hint="eastAsia" w:ascii="仿宋_GB2312" w:hAnsi="仿宋_GB2312" w:eastAsia="仿宋_GB2312" w:cs="仿宋_GB2312"/>
          <w:spacing w:val="-6"/>
          <w:sz w:val="32"/>
          <w:szCs w:val="32"/>
          <w:lang w:val="en-US" w:eastAsia="zh-CN"/>
        </w:rPr>
        <w:t>源</w:t>
      </w:r>
      <w:r>
        <w:rPr>
          <w:rFonts w:hint="eastAsia" w:ascii="仿宋_GB2312" w:hAnsi="仿宋_GB2312" w:eastAsia="仿宋_GB2312" w:cs="仿宋_GB2312"/>
          <w:spacing w:val="-6"/>
          <w:sz w:val="32"/>
          <w:szCs w:val="32"/>
        </w:rPr>
        <w:t>总氮排放量核算基础上，</w:t>
      </w:r>
      <w:r>
        <w:rPr>
          <w:rFonts w:hint="eastAsia" w:ascii="仿宋_GB2312" w:hAnsi="仿宋_GB2312" w:eastAsia="仿宋_GB2312" w:cs="仿宋_GB2312"/>
          <w:spacing w:val="-6"/>
          <w:sz w:val="32"/>
          <w:szCs w:val="32"/>
          <w:lang w:val="en-US" w:eastAsia="zh-CN"/>
        </w:rPr>
        <w:t>根据拟实施的各类总氮治理工程和措施的总氮削减量统筹确定</w:t>
      </w:r>
      <w:r>
        <w:rPr>
          <w:rFonts w:hint="eastAsia" w:ascii="仿宋_GB2312" w:hAnsi="仿宋_GB2312" w:eastAsia="仿宋_GB2312" w:cs="仿宋_GB2312"/>
          <w:spacing w:val="-6"/>
          <w:sz w:val="32"/>
          <w:szCs w:val="32"/>
        </w:rPr>
        <w:t>。</w:t>
      </w:r>
      <w:r>
        <w:rPr>
          <w:rFonts w:hint="eastAsia" w:ascii="仿宋_GB2312" w:hAnsi="仿宋_GB2312" w:eastAsia="仿宋_GB2312" w:cs="仿宋_GB2312"/>
          <w:sz w:val="32"/>
          <w:szCs w:val="32"/>
        </w:rPr>
        <w:t>基于</w:t>
      </w:r>
      <w:r>
        <w:rPr>
          <w:rFonts w:hint="eastAsia" w:ascii="仿宋_GB2312" w:hAnsi="仿宋_GB2312" w:eastAsia="仿宋_GB2312" w:cs="仿宋_GB2312"/>
          <w:sz w:val="32"/>
          <w:szCs w:val="32"/>
          <w:lang w:val="en-US" w:eastAsia="zh-CN"/>
        </w:rPr>
        <w:t>总氮削减量控制目标要</w:t>
      </w:r>
      <w:r>
        <w:rPr>
          <w:rFonts w:hint="eastAsia" w:ascii="仿宋_GB2312" w:hAnsi="仿宋_GB2312" w:eastAsia="仿宋_GB2312" w:cs="仿宋_GB2312"/>
          <w:sz w:val="32"/>
          <w:szCs w:val="32"/>
        </w:rPr>
        <w:t>分解到流域内的县级、镇级行政区域，分区域、分行业推进总氮</w:t>
      </w:r>
      <w:r>
        <w:rPr>
          <w:rFonts w:hint="eastAsia" w:ascii="仿宋_GB2312" w:hAnsi="仿宋_GB2312" w:eastAsia="仿宋_GB2312" w:cs="仿宋_GB2312"/>
          <w:sz w:val="32"/>
          <w:szCs w:val="32"/>
          <w:lang w:val="en-US" w:eastAsia="zh-CN"/>
        </w:rPr>
        <w:t>减排</w:t>
      </w:r>
      <w:r>
        <w:rPr>
          <w:rFonts w:hint="eastAsia" w:ascii="仿宋_GB2312" w:hAnsi="仿宋_GB2312" w:eastAsia="仿宋_GB2312" w:cs="仿宋_GB2312"/>
          <w:sz w:val="32"/>
          <w:szCs w:val="32"/>
        </w:rPr>
        <w:t>。</w:t>
      </w:r>
    </w:p>
    <w:p>
      <w:pPr>
        <w:pStyle w:val="11"/>
        <w:keepNext w:val="0"/>
        <w:keepLines w:val="0"/>
        <w:pageBreakBefore w:val="0"/>
        <w:widowControl w:val="0"/>
        <w:tabs>
          <w:tab w:val="left" w:pos="426"/>
          <w:tab w:val="left" w:pos="709"/>
        </w:tabs>
        <w:kinsoku/>
        <w:wordWrap/>
        <w:overflowPunct/>
        <w:topLinePunct w:val="0"/>
        <w:autoSpaceDE/>
        <w:autoSpaceDN/>
        <w:bidi w:val="0"/>
        <w:adjustRightInd w:val="0"/>
        <w:snapToGrid w:val="0"/>
        <w:spacing w:line="365" w:lineRule="auto"/>
        <w:ind w:firstLine="640" w:firstLineChars="200"/>
        <w:textAlignment w:val="auto"/>
        <w:outlineLvl w:val="0"/>
        <w:rPr>
          <w:rFonts w:hint="eastAsia" w:ascii="黑体" w:hAnsi="黑体" w:eastAsia="黑体" w:cs="黑体"/>
          <w:sz w:val="32"/>
          <w:szCs w:val="32"/>
        </w:rPr>
      </w:pPr>
      <w:r>
        <w:rPr>
          <w:rFonts w:hint="eastAsia" w:ascii="黑体" w:hAnsi="黑体" w:eastAsia="黑体" w:cs="黑体"/>
          <w:sz w:val="32"/>
          <w:szCs w:val="32"/>
        </w:rPr>
        <w:t>四、主要任务</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根据各入海河流总氮主要来源、</w:t>
      </w:r>
      <w:r>
        <w:rPr>
          <w:rFonts w:hint="eastAsia" w:ascii="仿宋_GB2312" w:hAnsi="仿宋_GB2312" w:eastAsia="仿宋_GB2312" w:cs="仿宋_GB2312"/>
          <w:sz w:val="32"/>
          <w:szCs w:val="32"/>
          <w:lang w:eastAsia="zh-CN"/>
        </w:rPr>
        <w:t>症结</w:t>
      </w:r>
      <w:r>
        <w:rPr>
          <w:rFonts w:hint="eastAsia" w:ascii="仿宋_GB2312" w:hAnsi="仿宋_GB2312" w:eastAsia="仿宋_GB2312" w:cs="仿宋_GB2312"/>
          <w:sz w:val="32"/>
          <w:szCs w:val="32"/>
        </w:rPr>
        <w:t>成因与减排潜力等实际情况，因地制宜确定主要任务措施。如：</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（一）农业农村污染治理</w:t>
      </w:r>
    </w:p>
    <w:p>
      <w:pPr>
        <w:keepNext w:val="0"/>
        <w:keepLines w:val="0"/>
        <w:pageBreakBefore w:val="0"/>
        <w:widowControl w:val="0"/>
        <w:kinsoku/>
        <w:wordWrap/>
        <w:overflowPunct/>
        <w:topLinePunct w:val="0"/>
        <w:autoSpaceDE/>
        <w:autoSpaceDN/>
        <w:bidi w:val="0"/>
        <w:adjustRightInd w:val="0"/>
        <w:snapToGrid w:val="0"/>
        <w:spacing w:line="365" w:lineRule="auto"/>
        <w:ind w:firstLine="616" w:firstLineChars="200"/>
        <w:textAlignment w:val="auto"/>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主要涵盖种植业面源污染治理、渔农村生活污水治理、沿海农村生活垃圾治理、畜禽养殖污染治理、水产养殖污染治理等。</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（二）城镇污水收集处理</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主要涵盖城镇污水管网建设改造、城镇污水处理</w:t>
      </w:r>
      <w:r>
        <w:rPr>
          <w:rFonts w:hint="eastAsia" w:ascii="仿宋_GB2312" w:hAnsi="仿宋_GB2312" w:eastAsia="仿宋_GB2312" w:cs="仿宋_GB2312"/>
          <w:sz w:val="32"/>
          <w:szCs w:val="32"/>
          <w:lang w:val="en-US" w:eastAsia="zh-CN"/>
        </w:rPr>
        <w:t>厂提标改造</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再生水循环利用、尾水生态深度净化工程建设</w:t>
      </w:r>
      <w:r>
        <w:rPr>
          <w:rFonts w:hint="eastAsia" w:ascii="仿宋_GB2312" w:hAnsi="仿宋_GB2312" w:eastAsia="仿宋_GB2312" w:cs="仿宋_GB2312"/>
          <w:sz w:val="32"/>
          <w:szCs w:val="32"/>
        </w:rPr>
        <w:t>等。</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（三）</w:t>
      </w:r>
      <w:r>
        <w:rPr>
          <w:rFonts w:hint="eastAsia" w:ascii="楷体_GB2312" w:hAnsi="楷体_GB2312" w:eastAsia="楷体_GB2312" w:cs="楷体_GB2312"/>
          <w:b/>
          <w:bCs/>
          <w:sz w:val="32"/>
          <w:szCs w:val="32"/>
          <w:lang w:val="en-US" w:eastAsia="zh-CN"/>
        </w:rPr>
        <w:t>涉氮</w:t>
      </w:r>
      <w:r>
        <w:rPr>
          <w:rFonts w:hint="eastAsia" w:ascii="楷体_GB2312" w:hAnsi="楷体_GB2312" w:eastAsia="楷体_GB2312" w:cs="楷体_GB2312"/>
          <w:b/>
          <w:bCs/>
          <w:sz w:val="32"/>
          <w:szCs w:val="32"/>
        </w:rPr>
        <w:t>工业污染治理</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主要涵盖纺织印染、农副食品加工等涉氮重点行业</w:t>
      </w:r>
      <w:r>
        <w:rPr>
          <w:rFonts w:hint="eastAsia" w:ascii="仿宋_GB2312" w:hAnsi="仿宋_GB2312" w:eastAsia="仿宋_GB2312" w:cs="仿宋_GB2312"/>
          <w:sz w:val="32"/>
          <w:szCs w:val="32"/>
          <w:lang w:val="en-US" w:eastAsia="zh-CN"/>
        </w:rPr>
        <w:t>总氮治理</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工业污水处理厂建设、</w:t>
      </w:r>
      <w:r>
        <w:rPr>
          <w:rFonts w:hint="eastAsia" w:ascii="仿宋_GB2312" w:hAnsi="仿宋_GB2312" w:eastAsia="仿宋_GB2312" w:cs="仿宋_GB2312"/>
          <w:sz w:val="32"/>
          <w:szCs w:val="32"/>
        </w:rPr>
        <w:t>重点</w:t>
      </w:r>
      <w:r>
        <w:rPr>
          <w:rFonts w:hint="eastAsia" w:ascii="仿宋_GB2312" w:hAnsi="仿宋_GB2312" w:eastAsia="仿宋_GB2312" w:cs="仿宋_GB2312"/>
          <w:sz w:val="32"/>
          <w:szCs w:val="32"/>
          <w:lang w:val="en-US" w:eastAsia="zh-CN"/>
        </w:rPr>
        <w:t>园区和</w:t>
      </w:r>
      <w:r>
        <w:rPr>
          <w:rFonts w:hint="eastAsia" w:ascii="仿宋_GB2312" w:hAnsi="仿宋_GB2312" w:eastAsia="仿宋_GB2312" w:cs="仿宋_GB2312"/>
          <w:sz w:val="32"/>
          <w:szCs w:val="32"/>
        </w:rPr>
        <w:t>企业监管</w:t>
      </w:r>
      <w:r>
        <w:rPr>
          <w:rFonts w:hint="eastAsia" w:ascii="仿宋_GB2312" w:hAnsi="仿宋_GB2312" w:eastAsia="仿宋_GB2312" w:cs="仿宋_GB2312"/>
          <w:sz w:val="32"/>
          <w:szCs w:val="32"/>
          <w:lang w:val="en-US" w:eastAsia="zh-CN"/>
        </w:rPr>
        <w:t>能力建设</w:t>
      </w:r>
      <w:r>
        <w:rPr>
          <w:rFonts w:hint="eastAsia" w:ascii="仿宋_GB2312" w:hAnsi="仿宋_GB2312" w:eastAsia="仿宋_GB2312" w:cs="仿宋_GB2312"/>
          <w:sz w:val="32"/>
          <w:szCs w:val="32"/>
        </w:rPr>
        <w:t>、地方水污染物排放标准制修订等。</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（四）</w:t>
      </w:r>
      <w:r>
        <w:rPr>
          <w:rFonts w:hint="eastAsia" w:ascii="楷体_GB2312" w:hAnsi="楷体_GB2312" w:eastAsia="楷体_GB2312" w:cs="楷体_GB2312"/>
          <w:b/>
          <w:bCs/>
          <w:sz w:val="32"/>
          <w:szCs w:val="32"/>
          <w:lang w:val="en-US" w:eastAsia="zh-CN"/>
        </w:rPr>
        <w:t>河道</w:t>
      </w:r>
      <w:r>
        <w:rPr>
          <w:rFonts w:hint="eastAsia" w:ascii="楷体_GB2312" w:hAnsi="楷体_GB2312" w:eastAsia="楷体_GB2312" w:cs="楷体_GB2312"/>
          <w:b/>
          <w:bCs/>
          <w:sz w:val="32"/>
          <w:szCs w:val="32"/>
        </w:rPr>
        <w:t>生态增容及内源治理</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主要涵盖河流生态修复、内源</w:t>
      </w:r>
      <w:r>
        <w:rPr>
          <w:rFonts w:hint="eastAsia" w:ascii="仿宋_GB2312" w:hAnsi="仿宋_GB2312" w:eastAsia="仿宋_GB2312" w:cs="仿宋_GB2312"/>
          <w:sz w:val="32"/>
          <w:szCs w:val="32"/>
          <w:lang w:val="en-US" w:eastAsia="zh-CN"/>
        </w:rPr>
        <w:t>污染</w:t>
      </w:r>
      <w:r>
        <w:rPr>
          <w:rFonts w:hint="eastAsia" w:ascii="仿宋_GB2312" w:hAnsi="仿宋_GB2312" w:eastAsia="仿宋_GB2312" w:cs="仿宋_GB2312"/>
          <w:sz w:val="32"/>
          <w:szCs w:val="32"/>
        </w:rPr>
        <w:t>治理、生态补水和水系连通等河道治理</w:t>
      </w:r>
      <w:r>
        <w:rPr>
          <w:rFonts w:hint="eastAsia" w:ascii="仿宋_GB2312" w:hAnsi="仿宋_GB2312" w:eastAsia="仿宋_GB2312" w:cs="仿宋_GB2312"/>
          <w:sz w:val="32"/>
          <w:szCs w:val="32"/>
          <w:lang w:val="en-US" w:eastAsia="zh-CN"/>
        </w:rPr>
        <w:t>措施</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adjustRightInd w:val="0"/>
        <w:snapToGrid w:val="0"/>
        <w:spacing w:line="365" w:lineRule="auto"/>
        <w:ind w:firstLine="643" w:firstLineChars="200"/>
        <w:textAlignment w:val="auto"/>
        <w:outlineLvl w:val="1"/>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rPr>
        <w:t>（五）环境监管能力</w:t>
      </w:r>
      <w:r>
        <w:rPr>
          <w:rFonts w:hint="eastAsia" w:ascii="楷体_GB2312" w:hAnsi="楷体_GB2312" w:eastAsia="楷体_GB2312" w:cs="楷体_GB2312"/>
          <w:b/>
          <w:bCs/>
          <w:sz w:val="32"/>
          <w:szCs w:val="32"/>
          <w:lang w:val="en-US" w:eastAsia="zh-CN"/>
        </w:rPr>
        <w:t>建设</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主要涵盖完善入海河流总氮监测，推进工业、生活、农业污染源总氮的全口径环境统计，提高总氮排放监控的数字化水平等。</w:t>
      </w:r>
    </w:p>
    <w:p>
      <w:pPr>
        <w:pStyle w:val="11"/>
        <w:keepNext w:val="0"/>
        <w:keepLines w:val="0"/>
        <w:pageBreakBefore w:val="0"/>
        <w:widowControl w:val="0"/>
        <w:tabs>
          <w:tab w:val="left" w:pos="426"/>
          <w:tab w:val="left" w:pos="709"/>
        </w:tabs>
        <w:kinsoku/>
        <w:wordWrap/>
        <w:overflowPunct/>
        <w:topLinePunct w:val="0"/>
        <w:autoSpaceDE/>
        <w:autoSpaceDN/>
        <w:bidi w:val="0"/>
        <w:adjustRightInd w:val="0"/>
        <w:snapToGrid w:val="0"/>
        <w:spacing w:line="365" w:lineRule="auto"/>
        <w:ind w:firstLine="640" w:firstLineChars="200"/>
        <w:textAlignment w:val="auto"/>
        <w:outlineLvl w:val="0"/>
        <w:rPr>
          <w:rFonts w:hint="eastAsia" w:ascii="黑体" w:hAnsi="黑体" w:eastAsia="黑体" w:cs="黑体"/>
          <w:sz w:val="32"/>
          <w:szCs w:val="32"/>
        </w:rPr>
      </w:pPr>
      <w:r>
        <w:rPr>
          <w:rFonts w:hint="eastAsia" w:ascii="黑体" w:hAnsi="黑体" w:eastAsia="黑体" w:cs="黑体"/>
          <w:sz w:val="32"/>
          <w:szCs w:val="32"/>
        </w:rPr>
        <w:t>五、保障措施</w:t>
      </w:r>
    </w:p>
    <w:p>
      <w:pPr>
        <w:pStyle w:val="11"/>
        <w:keepNext w:val="0"/>
        <w:keepLines w:val="0"/>
        <w:pageBreakBefore w:val="0"/>
        <w:widowControl w:val="0"/>
        <w:numPr>
          <w:ilvl w:val="0"/>
          <w:numId w:val="0"/>
        </w:numPr>
        <w:kinsoku/>
        <w:wordWrap/>
        <w:overflowPunct/>
        <w:topLinePunct w:val="0"/>
        <w:autoSpaceDE/>
        <w:autoSpaceDN/>
        <w:bidi w:val="0"/>
        <w:adjustRightInd w:val="0"/>
        <w:snapToGrid w:val="0"/>
        <w:spacing w:line="365" w:lineRule="auto"/>
        <w:ind w:left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1.</w:t>
      </w:r>
      <w:r>
        <w:rPr>
          <w:rFonts w:hint="eastAsia" w:ascii="仿宋_GB2312" w:hAnsi="仿宋_GB2312" w:eastAsia="仿宋_GB2312" w:cs="仿宋_GB2312"/>
          <w:b/>
          <w:bCs/>
          <w:sz w:val="32"/>
          <w:szCs w:val="32"/>
        </w:rPr>
        <w:t>加强组织领导</w:t>
      </w:r>
    </w:p>
    <w:p>
      <w:pPr>
        <w:pStyle w:val="11"/>
        <w:keepNext w:val="0"/>
        <w:keepLines w:val="0"/>
        <w:pageBreakBefore w:val="0"/>
        <w:widowControl w:val="0"/>
        <w:numPr>
          <w:ilvl w:val="0"/>
          <w:numId w:val="0"/>
        </w:numPr>
        <w:kinsoku/>
        <w:wordWrap/>
        <w:overflowPunct/>
        <w:topLinePunct w:val="0"/>
        <w:autoSpaceDE/>
        <w:autoSpaceDN/>
        <w:bidi w:val="0"/>
        <w:adjustRightInd w:val="0"/>
        <w:snapToGrid w:val="0"/>
        <w:spacing w:line="365" w:lineRule="auto"/>
        <w:ind w:left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强化政策支持</w:t>
      </w:r>
    </w:p>
    <w:p>
      <w:pPr>
        <w:pStyle w:val="11"/>
        <w:keepNext w:val="0"/>
        <w:keepLines w:val="0"/>
        <w:pageBreakBefore w:val="0"/>
        <w:widowControl w:val="0"/>
        <w:numPr>
          <w:ilvl w:val="0"/>
          <w:numId w:val="0"/>
        </w:numPr>
        <w:kinsoku/>
        <w:wordWrap/>
        <w:overflowPunct/>
        <w:topLinePunct w:val="0"/>
        <w:autoSpaceDE/>
        <w:autoSpaceDN/>
        <w:bidi w:val="0"/>
        <w:adjustRightInd w:val="0"/>
        <w:snapToGrid w:val="0"/>
        <w:spacing w:line="365" w:lineRule="auto"/>
        <w:ind w:left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3.</w:t>
      </w:r>
      <w:r>
        <w:rPr>
          <w:rFonts w:hint="eastAsia" w:ascii="仿宋_GB2312" w:hAnsi="仿宋_GB2312" w:eastAsia="仿宋_GB2312" w:cs="仿宋_GB2312"/>
          <w:b/>
          <w:bCs/>
          <w:sz w:val="32"/>
          <w:szCs w:val="32"/>
        </w:rPr>
        <w:t>严格监督管理</w:t>
      </w:r>
    </w:p>
    <w:p>
      <w:pPr>
        <w:pStyle w:val="11"/>
        <w:keepNext w:val="0"/>
        <w:keepLines w:val="0"/>
        <w:pageBreakBefore w:val="0"/>
        <w:widowControl w:val="0"/>
        <w:numPr>
          <w:ilvl w:val="0"/>
          <w:numId w:val="0"/>
        </w:numPr>
        <w:kinsoku/>
        <w:wordWrap/>
        <w:overflowPunct/>
        <w:topLinePunct w:val="0"/>
        <w:autoSpaceDE/>
        <w:autoSpaceDN/>
        <w:bidi w:val="0"/>
        <w:adjustRightInd w:val="0"/>
        <w:snapToGrid w:val="0"/>
        <w:spacing w:line="365" w:lineRule="auto"/>
        <w:ind w:left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4.</w:t>
      </w:r>
      <w:r>
        <w:rPr>
          <w:rFonts w:hint="eastAsia" w:ascii="仿宋_GB2312" w:hAnsi="仿宋_GB2312" w:eastAsia="仿宋_GB2312" w:cs="仿宋_GB2312"/>
          <w:b/>
          <w:bCs/>
          <w:sz w:val="32"/>
          <w:szCs w:val="32"/>
        </w:rPr>
        <w:t>加强科技支撑</w:t>
      </w:r>
    </w:p>
    <w:p>
      <w:pPr>
        <w:pStyle w:val="11"/>
        <w:keepNext w:val="0"/>
        <w:keepLines w:val="0"/>
        <w:pageBreakBefore w:val="0"/>
        <w:widowControl w:val="0"/>
        <w:numPr>
          <w:ilvl w:val="0"/>
          <w:numId w:val="0"/>
        </w:numPr>
        <w:kinsoku/>
        <w:wordWrap/>
        <w:overflowPunct/>
        <w:topLinePunct w:val="0"/>
        <w:autoSpaceDE/>
        <w:autoSpaceDN/>
        <w:bidi w:val="0"/>
        <w:adjustRightInd w:val="0"/>
        <w:snapToGrid w:val="0"/>
        <w:spacing w:line="365" w:lineRule="auto"/>
        <w:ind w:leftChars="200"/>
        <w:textAlignment w:val="auto"/>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val="en-US" w:eastAsia="zh-CN"/>
        </w:rPr>
        <w:t>5.</w:t>
      </w:r>
      <w:r>
        <w:rPr>
          <w:rFonts w:hint="eastAsia" w:ascii="仿宋_GB2312" w:hAnsi="仿宋_GB2312" w:eastAsia="仿宋_GB2312" w:cs="仿宋_GB2312"/>
          <w:b/>
          <w:bCs/>
          <w:sz w:val="32"/>
          <w:szCs w:val="32"/>
        </w:rPr>
        <w:t>……</w:t>
      </w:r>
    </w:p>
    <w:p>
      <w:pPr>
        <w:pStyle w:val="11"/>
        <w:keepNext w:val="0"/>
        <w:keepLines w:val="0"/>
        <w:pageBreakBefore w:val="0"/>
        <w:widowControl w:val="0"/>
        <w:tabs>
          <w:tab w:val="left" w:pos="426"/>
          <w:tab w:val="left" w:pos="709"/>
        </w:tabs>
        <w:kinsoku/>
        <w:wordWrap/>
        <w:overflowPunct/>
        <w:topLinePunct w:val="0"/>
        <w:autoSpaceDE/>
        <w:autoSpaceDN/>
        <w:bidi w:val="0"/>
        <w:adjustRightInd w:val="0"/>
        <w:snapToGrid w:val="0"/>
        <w:spacing w:line="365" w:lineRule="auto"/>
        <w:ind w:firstLine="640" w:firstLineChars="200"/>
        <w:textAlignment w:val="auto"/>
        <w:outlineLvl w:val="0"/>
        <w:rPr>
          <w:rFonts w:hint="eastAsia" w:ascii="黑体" w:hAnsi="黑体" w:eastAsia="黑体" w:cs="黑体"/>
          <w:sz w:val="32"/>
          <w:szCs w:val="32"/>
        </w:rPr>
      </w:pPr>
      <w:r>
        <w:rPr>
          <w:rFonts w:hint="eastAsia" w:ascii="黑体" w:hAnsi="黑体" w:eastAsia="黑体" w:cs="黑体"/>
          <w:sz w:val="32"/>
          <w:szCs w:val="32"/>
        </w:rPr>
        <w:t>六、重点工程</w:t>
      </w:r>
    </w:p>
    <w:p>
      <w:pPr>
        <w:keepNext w:val="0"/>
        <w:keepLines w:val="0"/>
        <w:pageBreakBefore w:val="0"/>
        <w:widowControl w:val="0"/>
        <w:kinsoku/>
        <w:wordWrap/>
        <w:overflowPunct/>
        <w:topLinePunct w:val="0"/>
        <w:autoSpaceDE/>
        <w:autoSpaceDN/>
        <w:bidi w:val="0"/>
        <w:adjustRightInd w:val="0"/>
        <w:snapToGrid w:val="0"/>
        <w:spacing w:line="365" w:lineRule="auto"/>
        <w:ind w:firstLine="640" w:firstLineChars="200"/>
        <w:textAlignment w:val="auto"/>
        <w:rPr>
          <w:rFonts w:cs="Times New Roman"/>
          <w:sz w:val="32"/>
          <w:szCs w:val="32"/>
        </w:rPr>
      </w:pPr>
      <w:r>
        <w:rPr>
          <w:rFonts w:hint="eastAsia" w:ascii="仿宋_GB2312" w:hAnsi="仿宋_GB2312" w:eastAsia="仿宋_GB2312" w:cs="仿宋_GB2312"/>
          <w:sz w:val="32"/>
          <w:szCs w:val="32"/>
        </w:rPr>
        <w:t>围绕上述重点任务提出总氮污染控制重点工程，明确时间进度安排，开展工程项目总氮预计减排量核算，对于周期较长，需持续推进的工程项目，建立持续推进及动态调整机制。</w:t>
      </w:r>
    </w:p>
    <w:p>
      <w:pPr>
        <w:rPr>
          <w:rFonts w:cs="Times New Roman"/>
          <w:sz w:val="32"/>
          <w:szCs w:val="32"/>
        </w:rPr>
      </w:pPr>
      <w:r>
        <w:rPr>
          <w:rFonts w:cs="Times New Roman"/>
          <w:sz w:val="32"/>
          <w:szCs w:val="32"/>
        </w:rPr>
        <w:br w:type="page"/>
      </w:r>
    </w:p>
    <w:p>
      <w:pPr>
        <w:pStyle w:val="11"/>
        <w:keepNext w:val="0"/>
        <w:keepLines w:val="0"/>
        <w:pageBreakBefore w:val="0"/>
        <w:widowControl w:val="0"/>
        <w:kinsoku/>
        <w:wordWrap/>
        <w:overflowPunct/>
        <w:topLinePunct w:val="0"/>
        <w:autoSpaceDE/>
        <w:autoSpaceDN/>
        <w:bidi w:val="0"/>
        <w:adjustRightInd w:val="0"/>
        <w:snapToGrid w:val="0"/>
        <w:spacing w:after="206" w:afterLines="50" w:line="240" w:lineRule="auto"/>
        <w:ind w:firstLine="0" w:firstLineChars="0"/>
        <w:jc w:val="center"/>
        <w:textAlignment w:val="auto"/>
        <w:rPr>
          <w:rFonts w:hint="eastAsia" w:ascii="方正小标宋简体" w:hAnsi="方正小标宋简体" w:eastAsia="方正小标宋简体" w:cs="方正小标宋简体"/>
          <w:b w:val="0"/>
          <w:bCs w:val="0"/>
          <w:sz w:val="28"/>
          <w:szCs w:val="28"/>
        </w:rPr>
      </w:pPr>
      <w:r>
        <w:rPr>
          <w:rFonts w:hint="eastAsia" w:ascii="方正小标宋简体" w:hAnsi="方正小标宋简体" w:eastAsia="方正小标宋简体" w:cs="方正小标宋简体"/>
          <w:b w:val="0"/>
          <w:bCs w:val="0"/>
          <w:sz w:val="28"/>
          <w:szCs w:val="28"/>
        </w:rPr>
        <w:t>表1  总氮污染控制重点项目清单</w:t>
      </w:r>
    </w:p>
    <w:tbl>
      <w:tblPr>
        <w:tblStyle w:val="7"/>
        <w:tblW w:w="4952" w:type="pct"/>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7" w:type="dxa"/>
          <w:bottom w:w="0" w:type="dxa"/>
          <w:right w:w="17" w:type="dxa"/>
        </w:tblCellMar>
      </w:tblPr>
      <w:tblGrid>
        <w:gridCol w:w="580"/>
        <w:gridCol w:w="902"/>
        <w:gridCol w:w="444"/>
        <w:gridCol w:w="449"/>
        <w:gridCol w:w="449"/>
        <w:gridCol w:w="741"/>
        <w:gridCol w:w="1339"/>
        <w:gridCol w:w="1341"/>
        <w:gridCol w:w="743"/>
        <w:gridCol w:w="163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7" w:type="dxa"/>
            <w:bottom w:w="0" w:type="dxa"/>
            <w:right w:w="17" w:type="dxa"/>
          </w:tblCellMar>
        </w:tblPrEx>
        <w:trPr>
          <w:trHeight w:val="771" w:hRule="atLeast"/>
          <w:jc w:val="center"/>
        </w:trPr>
        <w:tc>
          <w:tcPr>
            <w:tcW w:w="33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序号</w:t>
            </w:r>
          </w:p>
        </w:tc>
        <w:tc>
          <w:tcPr>
            <w:tcW w:w="523"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项目名称</w:t>
            </w:r>
          </w:p>
        </w:tc>
        <w:tc>
          <w:tcPr>
            <w:tcW w:w="25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省份</w:t>
            </w:r>
          </w:p>
        </w:tc>
        <w:tc>
          <w:tcPr>
            <w:tcW w:w="26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地市</w:t>
            </w:r>
          </w:p>
        </w:tc>
        <w:tc>
          <w:tcPr>
            <w:tcW w:w="26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区县</w:t>
            </w:r>
          </w:p>
        </w:tc>
        <w:tc>
          <w:tcPr>
            <w:tcW w:w="43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项目</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类型</w:t>
            </w:r>
          </w:p>
        </w:tc>
        <w:tc>
          <w:tcPr>
            <w:tcW w:w="77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项目投资</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（万元）</w:t>
            </w:r>
          </w:p>
        </w:tc>
        <w:tc>
          <w:tcPr>
            <w:tcW w:w="77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项目主要</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建设内容</w:t>
            </w:r>
          </w:p>
        </w:tc>
        <w:tc>
          <w:tcPr>
            <w:tcW w:w="43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完成</w:t>
            </w:r>
          </w:p>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时间</w:t>
            </w:r>
          </w:p>
        </w:tc>
        <w:tc>
          <w:tcPr>
            <w:tcW w:w="949"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预计总氮减排量（吨）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7" w:type="dxa"/>
            <w:bottom w:w="0" w:type="dxa"/>
            <w:right w:w="17" w:type="dxa"/>
          </w:tblCellMar>
        </w:tblPrEx>
        <w:trPr>
          <w:trHeight w:val="427" w:hRule="atLeast"/>
          <w:jc w:val="center"/>
        </w:trPr>
        <w:tc>
          <w:tcPr>
            <w:tcW w:w="33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1</w:t>
            </w:r>
          </w:p>
        </w:tc>
        <w:tc>
          <w:tcPr>
            <w:tcW w:w="523"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25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26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26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43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77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77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43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949"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7" w:type="dxa"/>
            <w:bottom w:w="0" w:type="dxa"/>
            <w:right w:w="17" w:type="dxa"/>
          </w:tblCellMar>
        </w:tblPrEx>
        <w:trPr>
          <w:trHeight w:val="559" w:hRule="atLeast"/>
          <w:jc w:val="center"/>
        </w:trPr>
        <w:tc>
          <w:tcPr>
            <w:tcW w:w="33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r>
              <w:rPr>
                <w:rFonts w:hint="eastAsia" w:ascii="黑体" w:hAnsi="黑体" w:eastAsia="黑体" w:cs="黑体"/>
                <w:b w:val="0"/>
                <w:bCs w:val="0"/>
                <w:sz w:val="21"/>
                <w:szCs w:val="21"/>
              </w:rPr>
              <w:t>…</w:t>
            </w:r>
          </w:p>
        </w:tc>
        <w:tc>
          <w:tcPr>
            <w:tcW w:w="523"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25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26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26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430"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776"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777"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431"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c>
          <w:tcPr>
            <w:tcW w:w="949" w:type="pct"/>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黑体" w:hAnsi="黑体" w:eastAsia="黑体" w:cs="黑体"/>
                <w:b w:val="0"/>
                <w:bCs w:val="0"/>
                <w:sz w:val="21"/>
                <w:szCs w:val="21"/>
              </w:rPr>
            </w:pPr>
          </w:p>
        </w:tc>
      </w:tr>
    </w:tbl>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eastAsia" w:ascii="仿宋_GB2312" w:hAnsi="仿宋_GB2312" w:eastAsia="仿宋_GB2312"/>
          <w:sz w:val="32"/>
          <w:szCs w:val="32"/>
        </w:rPr>
      </w:pPr>
      <w:r>
        <w:rPr>
          <w:rFonts w:cs="Times New Roman"/>
          <w:sz w:val="21"/>
          <w:szCs w:val="21"/>
        </w:rPr>
        <w:t>注：项目类型主要包括</w:t>
      </w:r>
      <w:r>
        <w:rPr>
          <w:rFonts w:hint="eastAsia" w:cs="Times New Roman"/>
          <w:sz w:val="21"/>
          <w:szCs w:val="21"/>
          <w:lang w:val="en-US" w:eastAsia="zh-CN"/>
        </w:rPr>
        <w:t>农业农村污染治理、城镇污水收集处理、涉氮工业污染治理、河道生态增容及内源治理、环境监管能力建设等</w:t>
      </w:r>
      <w:r>
        <w:rPr>
          <w:rFonts w:cs="Times New Roman"/>
          <w:sz w:val="21"/>
          <w:szCs w:val="21"/>
        </w:rPr>
        <w:t>。</w:t>
      </w:r>
    </w:p>
    <w:sectPr>
      <w:footerReference r:id="rId3" w:type="default"/>
      <w:pgSz w:w="11906" w:h="16838"/>
      <w:pgMar w:top="2098" w:right="1616" w:bottom="1417" w:left="1616" w:header="851" w:footer="992" w:gutter="0"/>
      <w:cols w:space="0" w:num="1"/>
      <w:rtlGutter w:val="0"/>
      <w:docGrid w:type="lines" w:linePitch="40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新宋体....">
    <w:altName w:val="黑体"/>
    <w:panose1 w:val="00000000000000000000"/>
    <w:charset w:val="86"/>
    <w:family w:val="modern"/>
    <w:pitch w:val="default"/>
    <w:sig w:usb0="00000000" w:usb1="00000000" w:usb2="00000010" w:usb3="00000000" w:csb0="00040000" w:csb1="00000000"/>
  </w:font>
  <w:font w:name="方正小标宋_GBK">
    <w:panose1 w:val="02000000000000000000"/>
    <w:charset w:val="86"/>
    <w:family w:val="script"/>
    <w:pitch w:val="default"/>
    <w:sig w:usb0="A00002BF" w:usb1="38CF7CFA" w:usb2="00082016" w:usb3="00000000" w:csb0="00040001" w:csb1="00000000"/>
  </w:font>
  <w:font w:name="楷体_GB2312">
    <w:panose1 w:val="02010609030101010101"/>
    <w:charset w:val="86"/>
    <w:family w:val="auto"/>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B94088"/>
    <w:rsid w:val="06522481"/>
    <w:rsid w:val="08387579"/>
    <w:rsid w:val="0A8600C3"/>
    <w:rsid w:val="0B673B7B"/>
    <w:rsid w:val="169E5363"/>
    <w:rsid w:val="17D26F37"/>
    <w:rsid w:val="18E951B6"/>
    <w:rsid w:val="1EBA5C30"/>
    <w:rsid w:val="1FD33B19"/>
    <w:rsid w:val="20E910C8"/>
    <w:rsid w:val="252D05F5"/>
    <w:rsid w:val="2B583EAC"/>
    <w:rsid w:val="2BDD3806"/>
    <w:rsid w:val="2CCA3651"/>
    <w:rsid w:val="2CF57AD0"/>
    <w:rsid w:val="2DCD5BFB"/>
    <w:rsid w:val="2F3026B2"/>
    <w:rsid w:val="30B914BA"/>
    <w:rsid w:val="382E06DB"/>
    <w:rsid w:val="3D5D4E8C"/>
    <w:rsid w:val="40CB1979"/>
    <w:rsid w:val="42FB61D3"/>
    <w:rsid w:val="456C0E3F"/>
    <w:rsid w:val="4D7E5307"/>
    <w:rsid w:val="4E827BAC"/>
    <w:rsid w:val="4F9274E5"/>
    <w:rsid w:val="52B415FC"/>
    <w:rsid w:val="5873796D"/>
    <w:rsid w:val="5CC427FD"/>
    <w:rsid w:val="5E2820B4"/>
    <w:rsid w:val="63751577"/>
    <w:rsid w:val="64AC4B57"/>
    <w:rsid w:val="693975B2"/>
    <w:rsid w:val="72E97517"/>
    <w:rsid w:val="73D84605"/>
    <w:rsid w:val="774A1723"/>
    <w:rsid w:val="79B94088"/>
    <w:rsid w:val="7BA544D4"/>
    <w:rsid w:val="7BE232EC"/>
    <w:rsid w:val="7EF237DA"/>
    <w:rsid w:val="7F0761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cs="仿宋_GB2312" w:asciiTheme="minorHAnsi" w:hAnsiTheme="minorHAnsi" w:eastAsiaTheme="minorEastAsia"/>
      <w:kern w:val="2"/>
      <w:sz w:val="30"/>
      <w:szCs w:val="30"/>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index 6"/>
    <w:basedOn w:val="1"/>
    <w:next w:val="1"/>
    <w:qFormat/>
    <w:uiPriority w:val="0"/>
    <w:pPr>
      <w:ind w:left="2100"/>
    </w:pPr>
    <w:rPr>
      <w:rFonts w:ascii="Times New Roman" w:hAnsi="Times New Roman" w:eastAsia="宋体"/>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
    <w:name w:val="Default"/>
    <w:basedOn w:val="10"/>
    <w:next w:val="3"/>
    <w:qFormat/>
    <w:uiPriority w:val="99"/>
    <w:pPr>
      <w:autoSpaceDE w:val="0"/>
      <w:autoSpaceDN w:val="0"/>
    </w:pPr>
    <w:rPr>
      <w:rFonts w:ascii="新宋体...." w:hAnsi="Calibri" w:eastAsia="新宋体...." w:cs="新宋体...."/>
      <w:color w:val="000000"/>
      <w:sz w:val="24"/>
      <w:szCs w:val="24"/>
    </w:rPr>
  </w:style>
  <w:style w:type="paragraph" w:customStyle="1" w:styleId="10">
    <w:name w:val="纯文本1"/>
    <w:basedOn w:val="1"/>
    <w:qFormat/>
    <w:uiPriority w:val="0"/>
    <w:pPr>
      <w:adjustRightInd w:val="0"/>
      <w:jc w:val="center"/>
      <w:textAlignment w:val="baseline"/>
    </w:pPr>
    <w:rPr>
      <w:rFonts w:ascii="宋体" w:hAnsi="Courier New" w:eastAsia="宋体" w:cs="Times New Roman"/>
    </w:rPr>
  </w:style>
  <w:style w:type="paragraph" w:styleId="11">
    <w:name w:val="List Paragraph"/>
    <w:basedOn w:val="1"/>
    <w:qFormat/>
    <w:uiPriority w:val="34"/>
    <w:pPr>
      <w:ind w:firstLine="42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2024-09-02T01:38:00Z</dcterms:created>
  <dc:creator>吴大千</dc:creator>
  <cp:lastModifiedBy>王春子 </cp:lastModifiedBy>
  <cp:lastPrinted>2024-09-12T01:15:00Z</cp:lastPrinted>
  <dcterms:modified xsi:type="dcterms:W3CDTF">2024-09-18T02:12:39Z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85A601BA413740889D425BFABCF08C85</vt:lpwstr>
  </property>
</Properties>
</file>