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91CA5">
      <w:pPr>
        <w:rPr>
          <w:rFonts w:hint="eastAsia" w:eastAsiaTheme="minorEastAsia"/>
          <w:color w:val="auto"/>
          <w:lang w:eastAsia="zh-CN"/>
        </w:rPr>
      </w:pPr>
    </w:p>
    <w:p w14:paraId="3A4A5F1C">
      <w:pPr>
        <w:wordWrap/>
        <w:spacing w:before="1400"/>
        <w:ind w:right="250" w:rightChars="119"/>
        <w:jc w:val="righ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榕环评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〔2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25〕10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号</w:t>
      </w:r>
    </w:p>
    <w:p w14:paraId="30B8E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福州市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生态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环境局</w:t>
      </w:r>
    </w:p>
    <w:p w14:paraId="75A53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关于万华化学（福建）有限公司TDI二期扩建36万吨/年项目环境影响报告书的审批意见</w:t>
      </w:r>
    </w:p>
    <w:p w14:paraId="3443D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36"/>
          <w:lang w:eastAsia="zh-CN"/>
        </w:rPr>
      </w:pPr>
    </w:p>
    <w:p w14:paraId="416C3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万华化学（福建）有限公司：</w:t>
      </w:r>
    </w:p>
    <w:p w14:paraId="1BC0A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你司报送的《万华化学（福建）有限公司TDI二期扩建36万吨/年项目环境影响报告书》（以下简称《报告书》）及申请审批的报告收悉。根据《环境影响评价法》第22条等规定，经组织技术审查，并征求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福州市福清生态环境局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意见，现提出审批意见如下:</w:t>
      </w:r>
      <w:bookmarkStart w:id="0" w:name="_GoBack"/>
      <w:bookmarkEnd w:id="0"/>
    </w:p>
    <w:p w14:paraId="5E432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一、项目位于福州江阴港城经济区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万华化学（福建）有限公司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有厂界范围内，主要建设内容包括：建设36万吨/年TDI装置(包括硝化单元、氢化单元、光化单元),以及界区内配套的公用工程、辅助生产设施和环境保护设施等。项目生产规模：年产TDI36万吨、MTDA20000吨、OTDA8800吨、HCl 296600吨、32%Wt盐酸91600吨。</w:t>
      </w:r>
    </w:p>
    <w:p w14:paraId="65B90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根据《报告书》评价结论、福州市环境影响评价技术中心出具的技术评估报告（编号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），该项目符合国家产业政策，符合福建省、福州市生态环境分区管控要求，符合《江阴港城总体规划（2018-2035）》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《福州江阴港城经济区产业发展规划》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及其规划环评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。在全面落实《报告书》提出的污染防治和风险防控措施的前提下，从环境保护角度分析项目建设是可行的。我局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同意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按照《报告书》所列的建设项目地点、性质、规模以及环境保护对策措施进行建设。</w:t>
      </w:r>
    </w:p>
    <w:p w14:paraId="1710F6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eastAsia="zh-CN"/>
        </w:rPr>
        <w:t>该项目的建设应严格执行环保“三同时”制度，进一步优化工程设计和污染防治措施，加强运行管理，持续提升清洁生产水平，强化各装置节能降耗措施。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严格落实《报告书》提出的各项污染防治、生态保护和风险防控措施，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在工程设计、施工和投入生产过程中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重点做好以下工作:</w:t>
      </w:r>
    </w:p>
    <w:p w14:paraId="1086E6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一）环境风险防范措施。</w:t>
      </w:r>
    </w:p>
    <w:p w14:paraId="605341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1.进一步优化工艺、提升运行管理水平，严格落实《报告书》提出的各项环境风险防控、监控措施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最大程度降低光气在线量。</w:t>
      </w:r>
    </w:p>
    <w:p w14:paraId="53AEF9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加强化工物料、危险品储运和使用管理，按规范设置自动监测、报警、紧急切断及紧急停车系统，可燃气体、有毒气体监测报警系统，以及防火、防爆、防中毒等事故处理系统。</w:t>
      </w:r>
    </w:p>
    <w:p w14:paraId="00739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3.涉及光气、氯气的装置要提升安全环保等级、增强安全冗余性，保证相关监测、切断和保护设备（含上游氯气供应单位）的有效运行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66292F2E">
      <w:pPr>
        <w:widowControl w:val="0"/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</w:rPr>
        <w:t>加强非正常工况的生态环境保护工作。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制定完善的开停车、检维修等的操作规程和污染控制措施，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</w:rPr>
        <w:t>提高管理和运营水平，加大管理、操作人员培训力度，优化工艺路线和设计方案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进一步降低开停车等非正常工况发生频次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</w:rPr>
        <w:t>禁长时间非正常工况超标排放污染物。</w:t>
      </w:r>
    </w:p>
    <w:p w14:paraId="0CBBF6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5.及时修订《突发环境事件应急预案》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，细化应急疏散方案，定期开展事故环境风险应急演练，并与园区及地方政府建立应急联动机制，确保周边环境安全。</w:t>
      </w:r>
    </w:p>
    <w:p w14:paraId="63B916D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 w:firstLineChars="20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加强环境防护距离范围内规划控制管理。本项目装置内的光气总量＞5000kg，要求以光气及光气化装置为边界设置的2000m安全防护距离作为环境防护距离，目前在该范围内无居民区等敏感目标，项目厂区内除必要的倒班宿舍外，不得配套职工宿舍等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你司应配合当地政府和建设规划部门，做好防护距离内的规划用地控制工作。</w:t>
      </w:r>
    </w:p>
    <w:p w14:paraId="025A1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（二）生态环境保护措施</w:t>
      </w:r>
    </w:p>
    <w:p w14:paraId="7B56F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1.大气污染防治。项目产生的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val="en-US" w:eastAsia="zh-CN"/>
        </w:rPr>
        <w:t>酸性废气（含MNT废酸储罐、浓硝酸储罐呼吸气）、碱性废气、反应驰放气、光化尾气（含TDI不合格产品储罐呼吸废气）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经预处理后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</w:rPr>
        <w:t>委托万华环保科技公司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val="en-US" w:eastAsia="zh-CN"/>
        </w:rPr>
        <w:t>以下简称“万华环保公司”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</w:rPr>
        <w:t>能量回收装置焚烧处理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达标后通过50m高排气筒排放，当能量回收装置因故障或需要检修造成停车时，本项目所有生产单元应同步停产（能量回收装置检修前本项目先停产）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TDA精制尾气（含粗TDA中间储罐呼吸气及OTDA储罐呼吸气）经“冷凝+水洗涤+冷凝除雾+活性炭吸附”处理达标后，通过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40m高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排气筒排放；ODCB储罐废气经两级活性炭吸附处理达标后，通过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m高排气筒排放。</w:t>
      </w:r>
    </w:p>
    <w:p w14:paraId="539B4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严格控制无组织排放污染，优先选用低挥发性原辅材料、先进密闭的生产工艺，强化生产、输送、进出料、干燥以及采样等易泄漏环节的密闭性，加强无组织废气的收集和有效处理。建立“泄漏检测与修复（LDAR）”管理制度及信息管理平台，全面分析泄漏点信息，对易泄漏环节制定针对性改进措施，通过源头控制减少VOCs泄漏排放。</w:t>
      </w:r>
    </w:p>
    <w:p w14:paraId="4C39F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2.水污染防治。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项目硝硫浓缩酸性废水、废酸浓缩酸性废水、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经预处理后的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汽提酸性废水、TDA废水、光化中和废水、设备清洗废水通过明管输送至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val="en-US" w:eastAsia="zh-CN"/>
        </w:rPr>
        <w:t>万华环保公司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现有污水处理站综合废水处理系统处理，达标后通过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江阴港城经济区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污水处理厂已建排海管道排入兴化湾；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地面冲洗水、初期雨水、生活污水及TDA汽提废水依托万华环保公司编组站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废水处理系统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处理后回用于万华福建产业园内各循环冷却水系统补充水；项目产生的碱性废水（红水）、TDA汽提高浓度废水经预处理后由独立管道输送，用于你公司气体扩能改造项目作为水煤浆气化原料，项目检修时排入万华环保公司处理；黄水回用硝化工序不外排。</w:t>
      </w:r>
    </w:p>
    <w:p w14:paraId="44544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土壤和地下水污染防治。严格按照《地下污染源防渗技术指南》（试行）、《石油化工工程防渗技术规范》（GB/T50934-2013）以及《环境影响评价技术导则-地下水环境》（HJ610-2016）等相关要求对各功能区进行分区防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，并加强防渗设施的日常检查和维护。根据重点污染防治区平面布置、地下水流向，合理设置土壤和地下水监测点，严格落实土壤和地下水监测计划。</w:t>
      </w:r>
    </w:p>
    <w:p w14:paraId="73BC32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噪声污染防治。优先选用低噪声设备，高噪声设备采取减振、隔声、消声等综合降噪措施，确保厂界噪声达标。</w:t>
      </w:r>
    </w:p>
    <w:p w14:paraId="2D790B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5.固体废物污染防治。遵循减量化、资源化和无害化的原则，采用先进的清洁生产工艺，减少固体废物产生量，并按照固体废物性质对其进行收集、贮存和综合利用及处置。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认真落实《报告书》提出的固体废物处理、处置措施，严格按照《中华人民共和国固体废物污染环境防治法》和固体废物分类管理名录进行妥善处理，不准随意外排。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轻油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TDI废液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送往万华环保公司能量回收装置进行焚烧处置，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TDI焦油颗粒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运至你公司气体厂区单元进行定向利用，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废DNT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废催化剂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TDA精馏残渣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光化退料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TDI精馏残渣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废活性炭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废弃化学品包装桶或袋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机修废油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废导热油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废氮封油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等危险废物必须委托有资质的单位进行安全妥善处置，厂内危险废物临时贮存地点采取相关措施后符合《危险废物贮存污染控制标准》（GB18597-2023）的要求。</w:t>
      </w:r>
    </w:p>
    <w:p w14:paraId="5749F1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6.环境管理。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加强企业环境管理能力建设，完善环境管理制度。加强施工期环境保护管理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，委托第三方开展施工期环境监理，控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制施工期扬尘、污水、噪声等对周边环境的影响。主动发布企业环境保护信息，自觉接受社会监督；按照国家有关规定和监测规范，制定并严格落实施工期和运营期监测计划，对排放的污染物和周边环境进行监测，并按规定向社会公开；加强宣传与沟通工作，建立畅通的公众参与渠道和平台，满足公众合理的环境保护诉求。</w:t>
      </w:r>
    </w:p>
    <w:p w14:paraId="334F07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碳排放管理。落实国家发展改革委等部门《关于严格能效约束推动重点领域节能降碳的若干意见》（发改产业〔2021〕1464号）要求，并衔接落实省、市能耗双控目标任务和有关区域、行业碳达峰行动方案等政策，强化节能降耗、优化减污措施，确保企业能效达到行业标杆水平，严格控制单位产品能耗和碳排放强度，实现减污降碳协同控制。</w:t>
      </w:r>
    </w:p>
    <w:p w14:paraId="578E5D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污染物排放标准和主要污染物允许排放控制要求:</w:t>
      </w:r>
    </w:p>
    <w:p w14:paraId="5C0A78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（一）污染物排放标准</w:t>
      </w:r>
    </w:p>
    <w:p w14:paraId="565B1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1.废气。万华环保公司能量回收装置焚烧烟气中的颗粒物、二氧化硫、氮氧化物、氯化氢排放执行《危险废物焚烧污染控制标准》（GB18484-2020）表3排放浓度限值与《石油化学工业污染物排放标准》（GB 31571-2015）及其修改单中表5大气污染物特别排放限值的最严格限值，烟气中的CO执行《危险废物焚烧污染控制标准》（GB18484-2020）表3限值，烟气中的二噁英、甲醇、甲醛等特征污染物执行《石油化学工业污染物排放标准》（GB 31571-2015）及其修改单表6废气中有机特征污染物排放限值，非甲烷总烃去除率执行《石油化学工业污染物排放标准》（GB 31571-2015）及其修改单表5要求，非甲烷总烃排放浓度参照《工业企业挥发性有机物排放标准》（DB35/1782-2018）表1中其他行业允许排放浓度，氨执行《恶臭污染物排放标准》（GB14554-93）表2排放标准值。</w:t>
      </w:r>
    </w:p>
    <w:p w14:paraId="0444F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TDA精制尾气（含粗TDA中间储罐呼吸气及OTDA储罐呼吸气）、ODCB储罐废气执行《石油化学工业污染物排放标准》（GB31571-2015）及其修改单中表5大气污染物特别排放限值和表6废气中有机特征污染物排放限值，非甲烷总烃排放浓度参照《工业企业挥发性有机物排放标准》（DB35/1782-2018）表1其他行业允许排放浓度。</w:t>
      </w:r>
    </w:p>
    <w:p w14:paraId="47805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厂界污染物无组织排放浓度执行《石油化学工业污染物排放标准》（GB31571-2015）及其修改单、《工业企业挥发性有机物排放标准》（DB35/1782-2018）、《烧碱、聚氯乙烯工业污染物排放标准》（GB15581-2016）、《大气污染物综合排放标准》（GB16297-1996）、《硝酸工业污染物排放标准》（GB26131-2010）最严值，光气参照《大气污染物综合排放标准》（GB16297-1996）中相关最严限值。本项目厂区内VOCs无组织排放监控点浓度执行《挥发性有机物无组织排放控制标准》（GB37822-2019）表A.1规定的限值。</w:t>
      </w:r>
    </w:p>
    <w:p w14:paraId="4AFED24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废水。万华环保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公司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综合废水处理系统尾水排放执行《烧碱、聚氯乙烯工业污染物排放标准》（GB15581-2016）表1直接排放限值、《石油化学工业污染物排放标准》（GB 31571-2015）及其修改单中表1直接排放限值和表3有机特征污染物排放限值、《城镇污水处理厂污染物排放标准》（GB18918-2002）表1一级A标准中的最严格浓度限值。万华环保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公司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编组站废水处理系统浓水排放执行《烧碱、聚氯乙烯工业污染物排放标准》（GB15581-2016）表1直接排放限值、《石油化学工业污染物排放标准》（GB 31571-2015）及其修改单表1直接排放限值和表3有机特征污染物排放限值、《合成氨工业水污染物排放标准》（GB13458-2013）中表2直接排放限值、《城镇污水处理厂污染物排放标准》（GB18918-2002）表1一级A标准、《污水综合排放标准》（GB8978-1996）一级排放标准中的最严限值。</w:t>
      </w:r>
    </w:p>
    <w:p w14:paraId="74D974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噪声。施工噪声执行《建筑施工场界噪声限值》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GB12523-2011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厂界噪声执行《工业企业厂界环境噪声排放标准》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GB12348-2008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3类标准。</w:t>
      </w:r>
    </w:p>
    <w:p w14:paraId="25917E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4.固废。一般工业固体废物贮存执行《一般工业固体废物贮存和填埋污染控制标准》（GB18599-2020）要求；危险废物贮存执行《危险废物贮存污染控制标准》（GB18597-2023）要求，转移管理执行《危险废物转移管理办法》（部令第23号）相关规定。</w:t>
      </w:r>
    </w:p>
    <w:p w14:paraId="1DA563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主要污染物排放总量控制要求</w:t>
      </w:r>
    </w:p>
    <w:p w14:paraId="07ADB692">
      <w:pPr>
        <w:pStyle w:val="3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新增化学需氧量、氨氮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val="en-US" w:eastAsia="zh-CN"/>
        </w:rPr>
        <w:t>的排放总量分别为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2.77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val="en-US" w:eastAsia="zh-CN"/>
        </w:rPr>
        <w:t>吨/年、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val="en-US" w:eastAsia="zh-CN"/>
        </w:rPr>
        <w:t>吨/年。按照省、市排污权交易相关规定，应在项目投产前按1.0倍购买化学需氧量、氨氮排污权指标，所需排污权指标分别为化学需氧量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22.77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val="en-US" w:eastAsia="zh-CN"/>
        </w:rPr>
        <w:t>吨/年，氨氮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val="en-US" w:eastAsia="zh-CN"/>
        </w:rPr>
        <w:t>吨/年。排污权指标取得前，如排污权交易相关规定发生变化，按新规定执行。项目投产后新增VOCs排放总量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15.77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val="en-US" w:eastAsia="zh-CN"/>
        </w:rPr>
        <w:t>吨/年，项目投产前应按规定通过总量调剂获得VOCs的排放指标。</w:t>
      </w:r>
    </w:p>
    <w:p w14:paraId="2BCAB6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项目建设应严格执行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环境保护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“三同时”制度，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实施清洁生产。在本项目排放污染物前，应依法重新申请取得排污许可证。在施工招标文件、施工合同和工程监理招标文件中明确环保条款和责任，建成后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应按规定程序实施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竣工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境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护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验收。</w:t>
      </w:r>
    </w:p>
    <w:p w14:paraId="73AEE8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环境影响报告书经批准后，项目的性质、规模、地点、工艺或者防治污染、防止生态破坏的措施发生重大变动的，应当重新报批该项目的环境影响报告书。自环境影响报告书批复之日起，如超过5年方决定开工建设的，环境影响报告书应重新审核。</w:t>
      </w:r>
    </w:p>
    <w:p w14:paraId="524F4B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六、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我局委托福州市生态环境保护综合执法支队开展该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环保“三同时”监督检查，由福州市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福清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生态环境局负责该项目竣工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环保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验收后的日常环保监督管理工作。</w:t>
      </w:r>
    </w:p>
    <w:p w14:paraId="4A1A79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lang w:eastAsia="zh-CN"/>
        </w:rPr>
      </w:pPr>
    </w:p>
    <w:p w14:paraId="1AE24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1F334F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福州市生态环境局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</w:p>
    <w:p w14:paraId="7CC325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</w:p>
    <w:p w14:paraId="6F3F6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</w:pPr>
    </w:p>
    <w:p w14:paraId="3CCA4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</w:pPr>
    </w:p>
    <w:p w14:paraId="4D8E4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经办人：王丽珍</w:t>
      </w:r>
    </w:p>
    <w:p w14:paraId="4F924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联系人：郭陆坚 15606066930</w:t>
      </w:r>
    </w:p>
    <w:p w14:paraId="71076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36"/>
          <w:lang w:val="en-US" w:eastAsia="zh-CN"/>
        </w:rPr>
      </w:pPr>
    </w:p>
    <w:tbl>
      <w:tblPr>
        <w:tblStyle w:val="10"/>
        <w:tblpPr w:leftFromText="180" w:rightFromText="180" w:vertAnchor="text" w:horzAnchor="page" w:tblpX="1825" w:tblpY="8320"/>
        <w:tblOverlap w:val="never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780"/>
        <w:gridCol w:w="3675"/>
      </w:tblGrid>
      <w:tr w14:paraId="18CA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BE492E7">
            <w:pPr>
              <w:tabs>
                <w:tab w:val="left" w:pos="3885"/>
              </w:tabs>
              <w:ind w:firstLine="179" w:firstLineChars="64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抄送：</w:t>
            </w:r>
          </w:p>
        </w:tc>
        <w:tc>
          <w:tcPr>
            <w:tcW w:w="7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668FCBC">
            <w:pPr>
              <w:tabs>
                <w:tab w:val="left" w:pos="3885"/>
              </w:tabs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福州市生态环境局大气处、土壤处、海洋处，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福州市生态环境保护综合执法支队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福州江阴港城经济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区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管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理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委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员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会，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福州市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福清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生态环境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局，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福州市环境影响评价技术中心，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福建省环境保护设计院有限公司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。</w:t>
            </w:r>
          </w:p>
        </w:tc>
      </w:tr>
      <w:tr w14:paraId="63EE0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4E5D0CE">
            <w:pPr>
              <w:tabs>
                <w:tab w:val="left" w:pos="3885"/>
              </w:tabs>
              <w:ind w:firstLine="179" w:firstLineChars="64"/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福州市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生态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环境局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9BECC50">
            <w:pPr>
              <w:tabs>
                <w:tab w:val="left" w:pos="3882"/>
                <w:tab w:val="left" w:pos="3987"/>
              </w:tabs>
              <w:wordWrap/>
              <w:ind w:right="311" w:rightChars="148" w:firstLine="280" w:firstLineChars="100"/>
              <w:jc w:val="both"/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20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日印发</w:t>
            </w:r>
          </w:p>
        </w:tc>
      </w:tr>
    </w:tbl>
    <w:p w14:paraId="3F8AB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36"/>
          <w:lang w:val="en-US" w:eastAsia="zh-CN"/>
        </w:rPr>
      </w:pPr>
    </w:p>
    <w:sectPr>
      <w:footerReference r:id="rId3" w:type="default"/>
      <w:pgSz w:w="11906" w:h="16838"/>
      <w:pgMar w:top="1417" w:right="141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C4EF1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0B3B7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0B3B7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xMGM2NWJlN2Q1ZTkzMWY3Y2U5YTgzOTNjODgxZTIifQ=="/>
  </w:docVars>
  <w:rsids>
    <w:rsidRoot w:val="696C0580"/>
    <w:rsid w:val="025A34EF"/>
    <w:rsid w:val="02D745CA"/>
    <w:rsid w:val="03970A56"/>
    <w:rsid w:val="044802BF"/>
    <w:rsid w:val="04A92894"/>
    <w:rsid w:val="050719E6"/>
    <w:rsid w:val="055616E8"/>
    <w:rsid w:val="07092588"/>
    <w:rsid w:val="071C6F9F"/>
    <w:rsid w:val="08147124"/>
    <w:rsid w:val="0984296C"/>
    <w:rsid w:val="0A981688"/>
    <w:rsid w:val="0F835861"/>
    <w:rsid w:val="10CF2EC9"/>
    <w:rsid w:val="1137447D"/>
    <w:rsid w:val="11501824"/>
    <w:rsid w:val="11FF7FAA"/>
    <w:rsid w:val="12BC1803"/>
    <w:rsid w:val="159E2CEF"/>
    <w:rsid w:val="163C4FD2"/>
    <w:rsid w:val="17456D3E"/>
    <w:rsid w:val="18D671C0"/>
    <w:rsid w:val="1A9D2BD3"/>
    <w:rsid w:val="1ED67B9D"/>
    <w:rsid w:val="1F1E6F74"/>
    <w:rsid w:val="1FA70DD5"/>
    <w:rsid w:val="24784727"/>
    <w:rsid w:val="248203F5"/>
    <w:rsid w:val="256E27C6"/>
    <w:rsid w:val="26C41CC7"/>
    <w:rsid w:val="2793399F"/>
    <w:rsid w:val="2816406D"/>
    <w:rsid w:val="285750D9"/>
    <w:rsid w:val="28DB47DA"/>
    <w:rsid w:val="29A87A77"/>
    <w:rsid w:val="2AFC7F0E"/>
    <w:rsid w:val="2D5910EC"/>
    <w:rsid w:val="2D607006"/>
    <w:rsid w:val="30A01B1A"/>
    <w:rsid w:val="319E1514"/>
    <w:rsid w:val="31E4474B"/>
    <w:rsid w:val="329917AB"/>
    <w:rsid w:val="34111FF3"/>
    <w:rsid w:val="3443336F"/>
    <w:rsid w:val="348509FF"/>
    <w:rsid w:val="353D07B6"/>
    <w:rsid w:val="372A11C3"/>
    <w:rsid w:val="37D82326"/>
    <w:rsid w:val="3A8C7944"/>
    <w:rsid w:val="3FC47AEC"/>
    <w:rsid w:val="404C4D2B"/>
    <w:rsid w:val="4298462C"/>
    <w:rsid w:val="42AA783F"/>
    <w:rsid w:val="44641345"/>
    <w:rsid w:val="45570A8B"/>
    <w:rsid w:val="45802993"/>
    <w:rsid w:val="46F87E0D"/>
    <w:rsid w:val="47626221"/>
    <w:rsid w:val="498C3945"/>
    <w:rsid w:val="4A481537"/>
    <w:rsid w:val="4A7960E6"/>
    <w:rsid w:val="4BBC405F"/>
    <w:rsid w:val="4C755B70"/>
    <w:rsid w:val="4D471EA4"/>
    <w:rsid w:val="4DF23350"/>
    <w:rsid w:val="4E552A1D"/>
    <w:rsid w:val="4E6D6B33"/>
    <w:rsid w:val="513F53BD"/>
    <w:rsid w:val="51C40B1C"/>
    <w:rsid w:val="52D12E6D"/>
    <w:rsid w:val="531836DF"/>
    <w:rsid w:val="53B272CD"/>
    <w:rsid w:val="540175D9"/>
    <w:rsid w:val="542C10A6"/>
    <w:rsid w:val="54FC55EB"/>
    <w:rsid w:val="55457924"/>
    <w:rsid w:val="56F426B7"/>
    <w:rsid w:val="571915F2"/>
    <w:rsid w:val="57C912EF"/>
    <w:rsid w:val="57E87DE4"/>
    <w:rsid w:val="587A2A06"/>
    <w:rsid w:val="596207F7"/>
    <w:rsid w:val="59A36E80"/>
    <w:rsid w:val="59D67C91"/>
    <w:rsid w:val="5CE21136"/>
    <w:rsid w:val="5E2F5C77"/>
    <w:rsid w:val="5F350E2D"/>
    <w:rsid w:val="5FD923CA"/>
    <w:rsid w:val="614C7264"/>
    <w:rsid w:val="616924BA"/>
    <w:rsid w:val="62CE1C1E"/>
    <w:rsid w:val="643F11E3"/>
    <w:rsid w:val="64571752"/>
    <w:rsid w:val="649602E2"/>
    <w:rsid w:val="650352F1"/>
    <w:rsid w:val="66E040A4"/>
    <w:rsid w:val="67A90512"/>
    <w:rsid w:val="68AE7A88"/>
    <w:rsid w:val="68E936B6"/>
    <w:rsid w:val="68F15C91"/>
    <w:rsid w:val="696C0580"/>
    <w:rsid w:val="697A2F01"/>
    <w:rsid w:val="6AFF58C7"/>
    <w:rsid w:val="6D5034DD"/>
    <w:rsid w:val="6EDC6229"/>
    <w:rsid w:val="6EFA4222"/>
    <w:rsid w:val="6FB54E0E"/>
    <w:rsid w:val="70FA6FF2"/>
    <w:rsid w:val="718617B2"/>
    <w:rsid w:val="71E43378"/>
    <w:rsid w:val="72C83732"/>
    <w:rsid w:val="735E3BF1"/>
    <w:rsid w:val="76316184"/>
    <w:rsid w:val="776A47AA"/>
    <w:rsid w:val="77B260F7"/>
    <w:rsid w:val="77BF424C"/>
    <w:rsid w:val="77CA76BA"/>
    <w:rsid w:val="7862076C"/>
    <w:rsid w:val="79AE0873"/>
    <w:rsid w:val="7E7E4B3D"/>
    <w:rsid w:val="7EE7487D"/>
    <w:rsid w:val="7F00277F"/>
    <w:rsid w:val="7F834428"/>
    <w:rsid w:val="7F8550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360" w:lineRule="auto"/>
      <w:outlineLvl w:val="3"/>
    </w:pPr>
    <w:rPr>
      <w:rFonts w:ascii="Calibri" w:hAnsi="Calibri" w:eastAsia="宋体" w:cs="Calibri"/>
      <w:b/>
      <w:sz w:val="24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te Heading"/>
    <w:basedOn w:val="1"/>
    <w:next w:val="1"/>
    <w:autoRedefine/>
    <w:qFormat/>
    <w:uiPriority w:val="0"/>
    <w:pPr>
      <w:jc w:val="center"/>
    </w:pPr>
  </w:style>
  <w:style w:type="paragraph" w:styleId="5">
    <w:name w:val="Body Text"/>
    <w:basedOn w:val="1"/>
    <w:next w:val="4"/>
    <w:autoRedefine/>
    <w:qFormat/>
    <w:uiPriority w:val="0"/>
    <w:pPr>
      <w:spacing w:after="120"/>
    </w:pPr>
    <w:rPr>
      <w:kern w:val="1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autoRedefine/>
    <w:qFormat/>
    <w:uiPriority w:val="99"/>
    <w:pPr>
      <w:ind w:firstLine="420" w:firstLineChars="100"/>
    </w:pPr>
  </w:style>
  <w:style w:type="table" w:styleId="11">
    <w:name w:val="Table Grid"/>
    <w:basedOn w:val="10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autoRedefine/>
    <w:qFormat/>
    <w:uiPriority w:val="0"/>
  </w:style>
  <w:style w:type="character" w:styleId="14">
    <w:name w:val="FollowedHyperlink"/>
    <w:basedOn w:val="12"/>
    <w:autoRedefine/>
    <w:qFormat/>
    <w:uiPriority w:val="0"/>
    <w:rPr>
      <w:color w:val="000000"/>
      <w:u w:val="none"/>
    </w:rPr>
  </w:style>
  <w:style w:type="character" w:styleId="15">
    <w:name w:val="Emphasis"/>
    <w:basedOn w:val="12"/>
    <w:autoRedefine/>
    <w:qFormat/>
    <w:uiPriority w:val="0"/>
  </w:style>
  <w:style w:type="character" w:styleId="16">
    <w:name w:val="Hyperlink"/>
    <w:basedOn w:val="12"/>
    <w:autoRedefine/>
    <w:qFormat/>
    <w:uiPriority w:val="0"/>
    <w:rPr>
      <w:color w:val="000000"/>
      <w:u w:val="none"/>
    </w:rPr>
  </w:style>
  <w:style w:type="paragraph" w:customStyle="1" w:styleId="17">
    <w:name w:val="表头样式"/>
    <w:basedOn w:val="3"/>
    <w:next w:val="1"/>
    <w:autoRedefine/>
    <w:qFormat/>
    <w:uiPriority w:val="0"/>
    <w:pPr>
      <w:keepNext w:val="0"/>
      <w:keepLines w:val="0"/>
      <w:adjustRightInd w:val="0"/>
      <w:snapToGrid w:val="0"/>
      <w:spacing w:line="360" w:lineRule="auto"/>
      <w:jc w:val="center"/>
      <w:outlineLvl w:val="4"/>
    </w:pPr>
    <w:rPr>
      <w:rFonts w:ascii="Calibri" w:hAnsi="Calibri" w:eastAsia="宋体" w:cs="Calibri"/>
      <w:snapToGrid w:val="0"/>
      <w:kern w:val="0"/>
      <w:sz w:val="24"/>
    </w:rPr>
  </w:style>
  <w:style w:type="paragraph" w:customStyle="1" w:styleId="18">
    <w:name w:val="YJ正文"/>
    <w:basedOn w:val="1"/>
    <w:autoRedefine/>
    <w:qFormat/>
    <w:uiPriority w:val="0"/>
    <w:pPr>
      <w:adjustRightInd w:val="0"/>
      <w:snapToGrid w:val="0"/>
      <w:spacing w:line="360" w:lineRule="auto"/>
      <w:ind w:firstLine="420" w:firstLineChars="200"/>
    </w:pPr>
    <w:rPr>
      <w:rFonts w:ascii="Calibri" w:hAnsi="Calibri" w:eastAsia="宋体" w:cs="Calibri"/>
      <w:sz w:val="24"/>
    </w:rPr>
  </w:style>
  <w:style w:type="paragraph" w:customStyle="1" w:styleId="19">
    <w:name w:val="YJ表格内容"/>
    <w:next w:val="1"/>
    <w:autoRedefine/>
    <w:qFormat/>
    <w:uiPriority w:val="0"/>
    <w:pPr>
      <w:widowControl w:val="0"/>
      <w:adjustRightInd w:val="0"/>
      <w:snapToGrid w:val="0"/>
      <w:jc w:val="center"/>
    </w:pPr>
    <w:rPr>
      <w:rFonts w:ascii="Calibri" w:hAnsi="Calibri" w:eastAsia="宋体" w:cs="Calibri"/>
      <w:snapToGrid w:val="0"/>
      <w:sz w:val="21"/>
      <w:szCs w:val="21"/>
      <w:lang w:val="en-US" w:eastAsia="zh-CN" w:bidi="ar-SA"/>
    </w:rPr>
  </w:style>
  <w:style w:type="character" w:customStyle="1" w:styleId="20">
    <w:name w:val="lable"/>
    <w:basedOn w:val="12"/>
    <w:autoRedefine/>
    <w:qFormat/>
    <w:uiPriority w:val="0"/>
    <w:rPr>
      <w:sz w:val="24"/>
      <w:szCs w:val="24"/>
    </w:rPr>
  </w:style>
  <w:style w:type="character" w:customStyle="1" w:styleId="21">
    <w:name w:val="radio-btn"/>
    <w:basedOn w:val="12"/>
    <w:autoRedefine/>
    <w:qFormat/>
    <w:uiPriority w:val="0"/>
    <w:rPr>
      <w:sz w:val="24"/>
      <w:szCs w:val="24"/>
    </w:rPr>
  </w:style>
  <w:style w:type="character" w:customStyle="1" w:styleId="22">
    <w:name w:val="radio-btn1"/>
    <w:basedOn w:val="12"/>
    <w:autoRedefine/>
    <w:qFormat/>
    <w:uiPriority w:val="0"/>
    <w:rPr>
      <w:sz w:val="24"/>
      <w:szCs w:val="24"/>
    </w:rPr>
  </w:style>
  <w:style w:type="character" w:customStyle="1" w:styleId="23">
    <w:name w:val="radio-btn2"/>
    <w:basedOn w:val="12"/>
    <w:autoRedefine/>
    <w:qFormat/>
    <w:uiPriority w:val="0"/>
    <w:rPr>
      <w:sz w:val="24"/>
      <w:szCs w:val="24"/>
    </w:rPr>
  </w:style>
  <w:style w:type="character" w:customStyle="1" w:styleId="24">
    <w:name w:val="lishishuju"/>
    <w:basedOn w:val="12"/>
    <w:autoRedefine/>
    <w:qFormat/>
    <w:uiPriority w:val="0"/>
    <w:rPr>
      <w:b/>
      <w:bCs/>
      <w:color w:val="000052"/>
      <w:sz w:val="24"/>
      <w:szCs w:val="24"/>
      <w:bdr w:val="single" w:color="E3E3E3" w:sz="6" w:space="0"/>
    </w:rPr>
  </w:style>
  <w:style w:type="character" w:customStyle="1" w:styleId="25">
    <w:name w:val="cur1"/>
    <w:basedOn w:val="12"/>
    <w:autoRedefine/>
    <w:qFormat/>
    <w:uiPriority w:val="0"/>
    <w:rPr>
      <w:color w:val="FFFFFF"/>
      <w:shd w:val="clear" w:fill="2F6B98"/>
    </w:rPr>
  </w:style>
  <w:style w:type="character" w:customStyle="1" w:styleId="26">
    <w:name w:val="znspantitle"/>
    <w:basedOn w:val="12"/>
    <w:autoRedefine/>
    <w:qFormat/>
    <w:uiPriority w:val="0"/>
    <w:rPr>
      <w:b/>
      <w:bCs/>
      <w:color w:val="333333"/>
    </w:rPr>
  </w:style>
  <w:style w:type="character" w:customStyle="1" w:styleId="27">
    <w:name w:val="sp3"/>
    <w:basedOn w:val="12"/>
    <w:autoRedefine/>
    <w:qFormat/>
    <w:uiPriority w:val="0"/>
  </w:style>
  <w:style w:type="character" w:customStyle="1" w:styleId="28">
    <w:name w:val="sp1"/>
    <w:basedOn w:val="12"/>
    <w:autoRedefine/>
    <w:qFormat/>
    <w:uiPriority w:val="0"/>
  </w:style>
  <w:style w:type="character" w:customStyle="1" w:styleId="29">
    <w:name w:val="sp4"/>
    <w:basedOn w:val="12"/>
    <w:autoRedefine/>
    <w:qFormat/>
    <w:uiPriority w:val="0"/>
  </w:style>
  <w:style w:type="character" w:customStyle="1" w:styleId="30">
    <w:name w:val="sp41"/>
    <w:basedOn w:val="12"/>
    <w:autoRedefine/>
    <w:qFormat/>
    <w:uiPriority w:val="0"/>
  </w:style>
  <w:style w:type="character" w:customStyle="1" w:styleId="31">
    <w:name w:val="sp42"/>
    <w:basedOn w:val="12"/>
    <w:autoRedefine/>
    <w:qFormat/>
    <w:uiPriority w:val="0"/>
  </w:style>
  <w:style w:type="character" w:customStyle="1" w:styleId="32">
    <w:name w:val="first-child"/>
    <w:basedOn w:val="12"/>
    <w:autoRedefine/>
    <w:qFormat/>
    <w:uiPriority w:val="0"/>
  </w:style>
  <w:style w:type="character" w:customStyle="1" w:styleId="33">
    <w:name w:val="nurr"/>
    <w:basedOn w:val="12"/>
    <w:autoRedefine/>
    <w:qFormat/>
    <w:uiPriority w:val="0"/>
  </w:style>
  <w:style w:type="character" w:customStyle="1" w:styleId="34">
    <w:name w:val="sp22"/>
    <w:basedOn w:val="12"/>
    <w:autoRedefine/>
    <w:qFormat/>
    <w:uiPriority w:val="0"/>
  </w:style>
  <w:style w:type="character" w:customStyle="1" w:styleId="35">
    <w:name w:val="sp23"/>
    <w:basedOn w:val="12"/>
    <w:autoRedefine/>
    <w:qFormat/>
    <w:uiPriority w:val="0"/>
  </w:style>
  <w:style w:type="paragraph" w:customStyle="1" w:styleId="36">
    <w:name w:val="5文章正文"/>
    <w:basedOn w:val="1"/>
    <w:autoRedefine/>
    <w:qFormat/>
    <w:uiPriority w:val="0"/>
    <w:pPr>
      <w:spacing w:line="360" w:lineRule="auto"/>
      <w:ind w:firstLine="200"/>
    </w:pPr>
    <w:rPr>
      <w:kern w:val="1"/>
      <w:sz w:val="24"/>
    </w:rPr>
  </w:style>
  <w:style w:type="paragraph" w:customStyle="1" w:styleId="37">
    <w:name w:val="FAM表格"/>
    <w:basedOn w:val="1"/>
    <w:qFormat/>
    <w:uiPriority w:val="0"/>
    <w:pPr>
      <w:spacing w:line="240" w:lineRule="auto"/>
      <w:ind w:firstLine="0" w:firstLineChars="0"/>
      <w:jc w:val="center"/>
    </w:pPr>
    <w:rPr>
      <w:rFonts w:hAnsi="Times New Roman"/>
      <w:kern w:val="2"/>
      <w:sz w:val="21"/>
      <w:szCs w:val="21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hs</Company>
  <Pages>9</Pages>
  <Words>4491</Words>
  <Characters>5030</Characters>
  <Lines>0</Lines>
  <Paragraphs>0</Paragraphs>
  <TotalTime>29</TotalTime>
  <ScaleCrop>false</ScaleCrop>
  <LinksUpToDate>false</LinksUpToDate>
  <CharactersWithSpaces>5053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2021-04-28T01:12:00Z</dcterms:created>
  <dc:creator>WPS_1619163745</dc:creator>
  <cp:lastModifiedBy>ccw</cp:lastModifiedBy>
  <cp:lastPrinted>2025-04-30T02:45:07Z</cp:lastPrinted>
  <dcterms:modified xsi:type="dcterms:W3CDTF">2025-04-30T02:53:13Z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1C559D3644FB4113AF5DD7AC4D80168D_13</vt:lpwstr>
  </property>
  <property fmtid="{D5CDD505-2E9C-101B-9397-08002B2CF9AE}" pid="4" name="KSOTemplateDocerSaveRecord">
    <vt:lpwstr>eyJoZGlkIjoiMGQxMGM2NWJlN2Q1ZTkzMWY3Y2U5YTgzOTNjODgxZTIiLCJ1c2VySWQiOiIzMzQ3ODA2NTEifQ==</vt:lpwstr>
  </property>
</Properties>
</file>