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2B3B3">
      <w:pPr>
        <w:spacing w:line="283" w:lineRule="auto"/>
        <w:rPr>
          <w:rFonts w:eastAsia="Times New Roman"/>
          <w:color w:val="auto"/>
        </w:rPr>
      </w:pPr>
    </w:p>
    <w:p w14:paraId="39C4FCBF">
      <w:pPr>
        <w:spacing w:line="283" w:lineRule="auto"/>
        <w:rPr>
          <w:rFonts w:eastAsia="Times New Roman"/>
          <w:color w:val="auto"/>
        </w:rPr>
      </w:pPr>
    </w:p>
    <w:p w14:paraId="5D29AEE9">
      <w:pPr>
        <w:pStyle w:val="5"/>
        <w:spacing w:before="101" w:line="222" w:lineRule="auto"/>
        <w:jc w:val="right"/>
        <w:rPr>
          <w:color w:val="auto"/>
          <w:spacing w:val="12"/>
          <w:highlight w:val="none"/>
        </w:rPr>
      </w:pPr>
    </w:p>
    <w:p w14:paraId="3B7AB639">
      <w:pPr>
        <w:pStyle w:val="5"/>
        <w:spacing w:before="101" w:line="222" w:lineRule="auto"/>
        <w:jc w:val="right"/>
        <w:rPr>
          <w:color w:val="auto"/>
          <w:spacing w:val="12"/>
          <w:highlight w:val="none"/>
        </w:rPr>
      </w:pPr>
    </w:p>
    <w:p w14:paraId="37DC75BE">
      <w:pPr>
        <w:pStyle w:val="5"/>
        <w:spacing w:before="101" w:line="222" w:lineRule="auto"/>
        <w:jc w:val="right"/>
        <w:rPr>
          <w:color w:val="auto"/>
          <w:spacing w:val="12"/>
          <w:highlight w:val="none"/>
        </w:rPr>
      </w:pPr>
    </w:p>
    <w:p w14:paraId="4D750F52">
      <w:pPr>
        <w:pStyle w:val="5"/>
        <w:spacing w:before="101" w:line="222" w:lineRule="auto"/>
        <w:jc w:val="right"/>
        <w:rPr>
          <w:color w:val="auto"/>
          <w:spacing w:val="12"/>
          <w:highlight w:val="none"/>
        </w:rPr>
      </w:pPr>
    </w:p>
    <w:p w14:paraId="791BCCEF">
      <w:pPr>
        <w:widowControl w:val="0"/>
        <w:kinsoku/>
        <w:autoSpaceDE/>
        <w:autoSpaceDN/>
        <w:adjustRightInd/>
        <w:snapToGrid/>
        <w:spacing w:line="520" w:lineRule="exact"/>
        <w:ind w:firstLine="640" w:firstLineChars="200"/>
        <w:jc w:val="right"/>
        <w:textAlignment w:val="auto"/>
        <w:rPr>
          <w:rFonts w:ascii="仿宋_GB2312" w:hAnsi="宋体" w:eastAsia="仿宋_GB2312" w:cs="Times New Roman"/>
          <w:color w:val="auto"/>
          <w:kern w:val="2"/>
          <w:sz w:val="32"/>
          <w:szCs w:val="32"/>
          <w:highlight w:val="none"/>
          <w:lang w:eastAsia="zh-CN"/>
        </w:rPr>
      </w:pPr>
      <w:r>
        <w:rPr>
          <w:rFonts w:hint="eastAsia" w:ascii="仿宋_GB2312" w:hAnsi="宋体" w:eastAsia="仿宋_GB2312" w:cs="Times New Roman"/>
          <w:color w:val="auto"/>
          <w:kern w:val="2"/>
          <w:sz w:val="32"/>
          <w:szCs w:val="32"/>
          <w:highlight w:val="none"/>
          <w:lang w:eastAsia="zh-CN"/>
        </w:rPr>
        <w:t>榕环评〔</w:t>
      </w:r>
      <w:r>
        <w:rPr>
          <w:rFonts w:ascii="仿宋_GB2312" w:hAnsi="宋体" w:eastAsia="仿宋_GB2312" w:cs="Times New Roman"/>
          <w:color w:val="auto"/>
          <w:kern w:val="2"/>
          <w:sz w:val="32"/>
          <w:szCs w:val="32"/>
          <w:highlight w:val="none"/>
          <w:lang w:eastAsia="zh-CN"/>
        </w:rPr>
        <w:t>2026</w:t>
      </w:r>
      <w:r>
        <w:rPr>
          <w:rFonts w:hint="eastAsia" w:ascii="仿宋_GB2312" w:hAnsi="宋体" w:eastAsia="仿宋_GB2312" w:cs="Times New Roman"/>
          <w:color w:val="auto"/>
          <w:kern w:val="2"/>
          <w:sz w:val="32"/>
          <w:szCs w:val="32"/>
          <w:highlight w:val="none"/>
          <w:lang w:eastAsia="zh-CN"/>
        </w:rPr>
        <w:t>〕</w:t>
      </w:r>
      <w:r>
        <w:rPr>
          <w:rFonts w:hint="eastAsia" w:ascii="仿宋_GB2312" w:hAnsi="宋体" w:eastAsia="仿宋_GB2312" w:cs="Times New Roman"/>
          <w:color w:val="auto"/>
          <w:kern w:val="2"/>
          <w:sz w:val="32"/>
          <w:szCs w:val="32"/>
          <w:highlight w:val="none"/>
          <w:lang w:val="en-US" w:eastAsia="zh-CN"/>
        </w:rPr>
        <w:t>22</w:t>
      </w:r>
      <w:r>
        <w:rPr>
          <w:rFonts w:hint="eastAsia" w:ascii="仿宋_GB2312" w:hAnsi="宋体" w:eastAsia="仿宋_GB2312" w:cs="Times New Roman"/>
          <w:color w:val="auto"/>
          <w:kern w:val="2"/>
          <w:sz w:val="32"/>
          <w:szCs w:val="32"/>
          <w:highlight w:val="none"/>
          <w:lang w:eastAsia="zh-CN"/>
        </w:rPr>
        <w:t>号</w:t>
      </w:r>
    </w:p>
    <w:p w14:paraId="21A59B52">
      <w:pPr>
        <w:rPr>
          <w:color w:val="auto"/>
          <w:highlight w:val="none"/>
        </w:rPr>
      </w:pPr>
    </w:p>
    <w:p w14:paraId="47EC3176">
      <w:pPr>
        <w:rPr>
          <w:color w:val="auto"/>
          <w:highlight w:val="none"/>
        </w:rPr>
      </w:pPr>
    </w:p>
    <w:p w14:paraId="72378BA2">
      <w:pPr>
        <w:spacing w:line="241" w:lineRule="auto"/>
        <w:rPr>
          <w:color w:val="auto"/>
          <w:highlight w:val="none"/>
        </w:rPr>
      </w:pPr>
    </w:p>
    <w:p w14:paraId="73B608BD">
      <w:pPr>
        <w:widowControl w:val="0"/>
        <w:kinsoku/>
        <w:autoSpaceDE/>
        <w:autoSpaceDN/>
        <w:adjustRightInd/>
        <w:snapToGrid/>
        <w:spacing w:line="560" w:lineRule="exact"/>
        <w:jc w:val="center"/>
        <w:textAlignment w:val="auto"/>
        <w:rPr>
          <w:rFonts w:ascii="方正小标宋简体" w:hAnsi="方正小标宋简体" w:eastAsia="方正小标宋简体" w:cs="方正小标宋简体"/>
          <w:color w:val="auto"/>
          <w:kern w:val="2"/>
          <w:sz w:val="44"/>
          <w:szCs w:val="44"/>
          <w:highlight w:val="none"/>
          <w:lang w:eastAsia="zh-CN"/>
        </w:rPr>
      </w:pPr>
      <w:r>
        <w:rPr>
          <w:rFonts w:hint="eastAsia" w:ascii="方正小标宋简体" w:hAnsi="方正小标宋简体" w:eastAsia="方正小标宋简体" w:cs="方正小标宋简体"/>
          <w:color w:val="auto"/>
          <w:kern w:val="2"/>
          <w:sz w:val="44"/>
          <w:szCs w:val="44"/>
          <w:highlight w:val="none"/>
          <w:lang w:eastAsia="zh-CN"/>
        </w:rPr>
        <w:t>福州市生态环境局</w:t>
      </w:r>
    </w:p>
    <w:p w14:paraId="46B3EEF7">
      <w:pPr>
        <w:widowControl w:val="0"/>
        <w:kinsoku/>
        <w:autoSpaceDE/>
        <w:autoSpaceDN/>
        <w:adjustRightInd/>
        <w:snapToGrid/>
        <w:spacing w:line="560" w:lineRule="exact"/>
        <w:jc w:val="center"/>
        <w:textAlignment w:val="auto"/>
        <w:rPr>
          <w:rFonts w:ascii="方正小标宋简体" w:hAnsi="方正小标宋简体" w:eastAsia="方正小标宋简体" w:cs="方正小标宋简体"/>
          <w:color w:val="auto"/>
          <w:kern w:val="2"/>
          <w:sz w:val="44"/>
          <w:szCs w:val="44"/>
          <w:highlight w:val="none"/>
          <w:lang w:eastAsia="zh-CN"/>
        </w:rPr>
      </w:pPr>
      <w:r>
        <w:rPr>
          <w:rFonts w:hint="eastAsia" w:ascii="方正小标宋简体" w:hAnsi="方正小标宋简体" w:eastAsia="方正小标宋简体" w:cs="方正小标宋简体"/>
          <w:color w:val="auto"/>
          <w:kern w:val="2"/>
          <w:sz w:val="44"/>
          <w:szCs w:val="44"/>
          <w:highlight w:val="none"/>
          <w:lang w:eastAsia="zh-CN"/>
        </w:rPr>
        <w:t>关于万华化学（福建）有限公司苯管线项目</w:t>
      </w:r>
    </w:p>
    <w:p w14:paraId="01886180">
      <w:pPr>
        <w:widowControl w:val="0"/>
        <w:kinsoku/>
        <w:autoSpaceDE/>
        <w:autoSpaceDN/>
        <w:adjustRightInd/>
        <w:snapToGrid/>
        <w:spacing w:line="560" w:lineRule="exact"/>
        <w:jc w:val="center"/>
        <w:textAlignment w:val="auto"/>
        <w:rPr>
          <w:rFonts w:ascii="方正小标宋简体" w:hAnsi="方正小标宋简体" w:eastAsia="方正小标宋简体" w:cs="方正小标宋简体"/>
          <w:color w:val="auto"/>
          <w:kern w:val="2"/>
          <w:sz w:val="44"/>
          <w:szCs w:val="44"/>
          <w:highlight w:val="none"/>
          <w:lang w:eastAsia="zh-CN"/>
        </w:rPr>
      </w:pPr>
      <w:r>
        <w:rPr>
          <w:rFonts w:hint="eastAsia" w:ascii="方正小标宋简体" w:hAnsi="方正小标宋简体" w:eastAsia="方正小标宋简体" w:cs="方正小标宋简体"/>
          <w:color w:val="auto"/>
          <w:kern w:val="2"/>
          <w:sz w:val="44"/>
          <w:szCs w:val="44"/>
          <w:highlight w:val="none"/>
          <w:lang w:eastAsia="zh-CN"/>
        </w:rPr>
        <w:t>环境影响报告表的审批意见</w:t>
      </w:r>
    </w:p>
    <w:p w14:paraId="7D7FB174">
      <w:pPr>
        <w:spacing w:line="289" w:lineRule="auto"/>
        <w:rPr>
          <w:color w:val="auto"/>
          <w:highlight w:val="none"/>
        </w:rPr>
      </w:pPr>
    </w:p>
    <w:p w14:paraId="1DCEF6E4">
      <w:pPr>
        <w:spacing w:line="289" w:lineRule="auto"/>
        <w:rPr>
          <w:color w:val="auto"/>
          <w:highlight w:val="none"/>
        </w:rPr>
      </w:pPr>
    </w:p>
    <w:p w14:paraId="6BB4CEF2">
      <w:pPr>
        <w:keepNext w:val="0"/>
        <w:keepLines w:val="0"/>
        <w:pageBreakBefore w:val="0"/>
        <w:widowControl w:val="0"/>
        <w:kinsoku/>
        <w:overflowPunct/>
        <w:topLinePunct w:val="0"/>
        <w:autoSpaceDE/>
        <w:autoSpaceDN/>
        <w:bidi w:val="0"/>
        <w:adjustRightInd/>
        <w:snapToGrid/>
        <w:spacing w:line="540" w:lineRule="exact"/>
        <w:jc w:val="both"/>
        <w:textAlignment w:val="auto"/>
        <w:rPr>
          <w:rFonts w:ascii="仿宋_GB2312" w:hAnsi="宋体" w:eastAsia="仿宋_GB2312" w:cs="Times New Roman"/>
          <w:color w:val="auto"/>
          <w:kern w:val="2"/>
          <w:sz w:val="32"/>
          <w:szCs w:val="32"/>
          <w:highlight w:val="none"/>
          <w:lang w:eastAsia="zh-CN"/>
        </w:rPr>
      </w:pPr>
      <w:r>
        <w:rPr>
          <w:rFonts w:hint="eastAsia" w:ascii="仿宋_GB2312" w:hAnsi="宋体" w:eastAsia="仿宋_GB2312" w:cs="Times New Roman"/>
          <w:color w:val="auto"/>
          <w:kern w:val="2"/>
          <w:sz w:val="32"/>
          <w:szCs w:val="32"/>
          <w:highlight w:val="none"/>
          <w:lang w:eastAsia="zh-CN"/>
        </w:rPr>
        <w:t>万华化学（福建）有限公司：</w:t>
      </w:r>
    </w:p>
    <w:p w14:paraId="68241F1F">
      <w:pPr>
        <w:keepNext w:val="0"/>
        <w:keepLines w:val="0"/>
        <w:pageBreakBefore w:val="0"/>
        <w:widowControl w:val="0"/>
        <w:kinsoku/>
        <w:overflowPunct/>
        <w:topLinePunct w:val="0"/>
        <w:autoSpaceDE/>
        <w:autoSpaceDN/>
        <w:bidi w:val="0"/>
        <w:adjustRightInd/>
        <w:snapToGrid/>
        <w:spacing w:line="540" w:lineRule="exact"/>
        <w:ind w:firstLine="640" w:firstLineChars="200"/>
        <w:jc w:val="both"/>
        <w:textAlignment w:val="auto"/>
        <w:rPr>
          <w:rFonts w:ascii="仿宋_GB2312" w:hAnsi="宋体" w:eastAsia="仿宋_GB2312" w:cs="Times New Roman"/>
          <w:color w:val="auto"/>
          <w:kern w:val="2"/>
          <w:sz w:val="32"/>
          <w:szCs w:val="32"/>
          <w:highlight w:val="none"/>
          <w:lang w:eastAsia="zh-CN"/>
        </w:rPr>
      </w:pPr>
      <w:r>
        <w:rPr>
          <w:rFonts w:hint="eastAsia" w:ascii="仿宋_GB2312" w:hAnsi="宋体" w:eastAsia="仿宋_GB2312" w:cs="Times New Roman"/>
          <w:color w:val="auto"/>
          <w:kern w:val="2"/>
          <w:sz w:val="32"/>
          <w:szCs w:val="32"/>
          <w:highlight w:val="none"/>
          <w:lang w:eastAsia="zh-CN"/>
        </w:rPr>
        <w:t>你司报送的《万华化学（福建）有限公司苯管线项目环境影响报告表》</w:t>
      </w:r>
      <w:r>
        <w:rPr>
          <w:rFonts w:ascii="仿宋_GB2312" w:hAnsi="宋体" w:eastAsia="仿宋_GB2312" w:cs="Times New Roman"/>
          <w:color w:val="auto"/>
          <w:kern w:val="2"/>
          <w:sz w:val="32"/>
          <w:szCs w:val="32"/>
          <w:highlight w:val="none"/>
          <w:lang w:eastAsia="zh-CN"/>
        </w:rPr>
        <w:t>(</w:t>
      </w:r>
      <w:r>
        <w:rPr>
          <w:rFonts w:hint="eastAsia" w:ascii="仿宋_GB2312" w:hAnsi="宋体" w:eastAsia="仿宋_GB2312" w:cs="Times New Roman"/>
          <w:color w:val="auto"/>
          <w:kern w:val="2"/>
          <w:sz w:val="32"/>
          <w:szCs w:val="32"/>
          <w:highlight w:val="none"/>
          <w:lang w:eastAsia="zh-CN"/>
        </w:rPr>
        <w:t>以下简称《报告表》</w:t>
      </w:r>
      <w:r>
        <w:rPr>
          <w:rFonts w:ascii="仿宋_GB2312" w:hAnsi="宋体" w:eastAsia="仿宋_GB2312" w:cs="Times New Roman"/>
          <w:color w:val="auto"/>
          <w:kern w:val="2"/>
          <w:sz w:val="32"/>
          <w:szCs w:val="32"/>
          <w:highlight w:val="none"/>
          <w:lang w:eastAsia="zh-CN"/>
        </w:rPr>
        <w:t>)</w:t>
      </w:r>
      <w:r>
        <w:rPr>
          <w:rFonts w:hint="eastAsia" w:ascii="仿宋_GB2312" w:hAnsi="宋体" w:eastAsia="仿宋_GB2312" w:cs="Times New Roman"/>
          <w:color w:val="auto"/>
          <w:kern w:val="2"/>
          <w:sz w:val="32"/>
          <w:szCs w:val="32"/>
          <w:highlight w:val="none"/>
          <w:lang w:eastAsia="zh-CN"/>
        </w:rPr>
        <w:t>收悉。经研究，并征求福州市福清生态环境局意见，现提出审批意见如下：</w:t>
      </w:r>
    </w:p>
    <w:p w14:paraId="562198C2">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right="0" w:rightChars="0" w:firstLine="640" w:firstLineChars="200"/>
        <w:jc w:val="both"/>
        <w:textAlignment w:val="auto"/>
        <w:outlineLvl w:val="9"/>
        <w:rPr>
          <w:rFonts w:ascii="仿宋_GB2312" w:hAnsi="宋体" w:eastAsia="仿宋_GB2312" w:cs="Times New Roman"/>
          <w:color w:val="auto"/>
          <w:kern w:val="2"/>
          <w:sz w:val="32"/>
          <w:szCs w:val="32"/>
          <w:highlight w:val="none"/>
          <w:lang w:eastAsia="zh-CN"/>
        </w:rPr>
      </w:pPr>
      <w:r>
        <w:rPr>
          <w:rFonts w:hint="eastAsia" w:ascii="仿宋_GB2312" w:hAnsi="宋体" w:eastAsia="仿宋_GB2312" w:cs="Times New Roman"/>
          <w:color w:val="auto"/>
          <w:kern w:val="2"/>
          <w:sz w:val="32"/>
          <w:szCs w:val="32"/>
          <w:highlight w:val="none"/>
          <w:lang w:eastAsia="zh-CN"/>
        </w:rPr>
        <w:t>一、万华化学（福建）有限公司苯管线项目位于福州江阴港城经济区</w:t>
      </w:r>
      <w:r>
        <w:rPr>
          <w:rFonts w:ascii="仿宋_GB2312" w:hAnsi="宋体" w:eastAsia="仿宋_GB2312" w:cs="Times New Roman"/>
          <w:color w:val="auto"/>
          <w:kern w:val="2"/>
          <w:sz w:val="32"/>
          <w:szCs w:val="32"/>
          <w:highlight w:val="none"/>
          <w:lang w:eastAsia="zh-CN"/>
        </w:rPr>
        <w:t>,</w:t>
      </w:r>
      <w:r>
        <w:rPr>
          <w:rFonts w:hint="eastAsia" w:ascii="仿宋_GB2312" w:hAnsi="宋体" w:eastAsia="仿宋_GB2312" w:cs="Times New Roman"/>
          <w:color w:val="auto"/>
          <w:kern w:val="2"/>
          <w:sz w:val="32"/>
          <w:szCs w:val="32"/>
          <w:highlight w:val="none"/>
          <w:lang w:eastAsia="zh-CN"/>
        </w:rPr>
        <w:t>主要建设内容：原万华至环洋厂界氧气管线更改介质为苯，且原管线</w:t>
      </w:r>
      <w:r>
        <w:rPr>
          <w:rFonts w:ascii="仿宋_GB2312" w:hAnsi="宋体" w:eastAsia="仿宋_GB2312" w:cs="Times New Roman"/>
          <w:color w:val="auto"/>
          <w:kern w:val="2"/>
          <w:sz w:val="32"/>
          <w:szCs w:val="32"/>
          <w:highlight w:val="none"/>
          <w:lang w:eastAsia="zh-CN"/>
        </w:rPr>
        <w:t>DN65</w:t>
      </w:r>
      <w:r>
        <w:rPr>
          <w:rFonts w:hint="eastAsia" w:ascii="仿宋_GB2312" w:hAnsi="宋体" w:eastAsia="仿宋_GB2312" w:cs="Times New Roman"/>
          <w:color w:val="auto"/>
          <w:kern w:val="2"/>
          <w:sz w:val="32"/>
          <w:szCs w:val="32"/>
          <w:highlight w:val="none"/>
          <w:lang w:eastAsia="zh-CN"/>
        </w:rPr>
        <w:t>段切割拆除并更换</w:t>
      </w:r>
      <w:r>
        <w:rPr>
          <w:rFonts w:ascii="仿宋_GB2312" w:hAnsi="宋体" w:eastAsia="仿宋_GB2312" w:cs="Times New Roman"/>
          <w:color w:val="auto"/>
          <w:kern w:val="2"/>
          <w:sz w:val="32"/>
          <w:szCs w:val="32"/>
          <w:highlight w:val="none"/>
          <w:lang w:eastAsia="zh-CN"/>
        </w:rPr>
        <w:t xml:space="preserve"> DN150</w:t>
      </w:r>
      <w:r>
        <w:rPr>
          <w:rFonts w:hint="eastAsia" w:ascii="仿宋_GB2312" w:hAnsi="宋体" w:eastAsia="仿宋_GB2312" w:cs="Times New Roman"/>
          <w:color w:val="auto"/>
          <w:kern w:val="2"/>
          <w:sz w:val="32"/>
          <w:szCs w:val="32"/>
          <w:highlight w:val="none"/>
          <w:lang w:eastAsia="zh-CN"/>
        </w:rPr>
        <w:t>管线接至万华福建码头苯罐组泵群；从原氧气管线起点向西延伸至天辰耀隆界区，并增加保温，加上原利旧氧气管线，苯管线总长度</w:t>
      </w:r>
      <w:r>
        <w:rPr>
          <w:rFonts w:ascii="仿宋_GB2312" w:hAnsi="宋体" w:eastAsia="仿宋_GB2312" w:cs="Times New Roman"/>
          <w:color w:val="auto"/>
          <w:kern w:val="2"/>
          <w:sz w:val="32"/>
          <w:szCs w:val="32"/>
          <w:highlight w:val="none"/>
          <w:lang w:eastAsia="zh-CN"/>
        </w:rPr>
        <w:t>6000</w:t>
      </w:r>
      <w:r>
        <w:rPr>
          <w:rFonts w:hint="eastAsia" w:ascii="仿宋_GB2312" w:hAnsi="宋体" w:eastAsia="仿宋_GB2312" w:cs="Times New Roman"/>
          <w:color w:val="auto"/>
          <w:kern w:val="2"/>
          <w:sz w:val="32"/>
          <w:szCs w:val="32"/>
          <w:highlight w:val="none"/>
          <w:lang w:eastAsia="zh-CN"/>
        </w:rPr>
        <w:t>米。</w:t>
      </w:r>
      <w:r>
        <w:rPr>
          <w:rFonts w:hint="eastAsia" w:ascii="仿宋_GB2312" w:hAnsi="宋体" w:eastAsia="仿宋_GB2312" w:cs="Times New Roman"/>
          <w:snapToGrid/>
          <w:color w:val="auto"/>
          <w:kern w:val="2"/>
          <w:sz w:val="32"/>
          <w:szCs w:val="32"/>
          <w:highlight w:val="none"/>
          <w:lang w:val="en-US" w:eastAsia="zh-CN"/>
        </w:rPr>
        <w:t>向天辰耀隆新材料有限公司输送苯，每年</w:t>
      </w:r>
      <w:r>
        <w:rPr>
          <w:rFonts w:hint="default" w:ascii="仿宋_GB2312" w:hAnsi="宋体" w:eastAsia="仿宋_GB2312" w:cs="Times New Roman"/>
          <w:snapToGrid/>
          <w:color w:val="auto"/>
          <w:kern w:val="2"/>
          <w:sz w:val="32"/>
          <w:szCs w:val="32"/>
          <w:highlight w:val="none"/>
          <w:lang w:val="en-US" w:eastAsia="zh-CN"/>
        </w:rPr>
        <w:t>10</w:t>
      </w:r>
      <w:r>
        <w:rPr>
          <w:rFonts w:hint="eastAsia" w:ascii="仿宋_GB2312" w:hAnsi="宋体" w:eastAsia="仿宋_GB2312" w:cs="Times New Roman"/>
          <w:snapToGrid/>
          <w:color w:val="auto"/>
          <w:kern w:val="2"/>
          <w:sz w:val="32"/>
          <w:szCs w:val="32"/>
          <w:highlight w:val="none"/>
          <w:lang w:val="en-US" w:eastAsia="zh-CN"/>
        </w:rPr>
        <w:t>-</w:t>
      </w:r>
      <w:r>
        <w:rPr>
          <w:rFonts w:hint="default" w:ascii="仿宋_GB2312" w:hAnsi="宋体" w:eastAsia="仿宋_GB2312" w:cs="Times New Roman"/>
          <w:snapToGrid/>
          <w:color w:val="auto"/>
          <w:kern w:val="2"/>
          <w:sz w:val="32"/>
          <w:szCs w:val="32"/>
          <w:highlight w:val="none"/>
          <w:lang w:val="en-US" w:eastAsia="zh-CN"/>
        </w:rPr>
        <w:t>15</w:t>
      </w:r>
      <w:r>
        <w:rPr>
          <w:rFonts w:hint="eastAsia" w:ascii="仿宋_GB2312" w:hAnsi="宋体" w:eastAsia="仿宋_GB2312" w:cs="Times New Roman"/>
          <w:snapToGrid/>
          <w:color w:val="auto"/>
          <w:kern w:val="2"/>
          <w:sz w:val="32"/>
          <w:szCs w:val="32"/>
          <w:highlight w:val="none"/>
          <w:lang w:val="en-US" w:eastAsia="zh-CN"/>
        </w:rPr>
        <w:t>万吨。</w:t>
      </w:r>
    </w:p>
    <w:p w14:paraId="6B40B752">
      <w:pPr>
        <w:keepNext w:val="0"/>
        <w:keepLines w:val="0"/>
        <w:pageBreakBefore w:val="0"/>
        <w:widowControl w:val="0"/>
        <w:kinsoku/>
        <w:overflowPunct/>
        <w:topLinePunct w:val="0"/>
        <w:autoSpaceDE/>
        <w:autoSpaceDN/>
        <w:bidi w:val="0"/>
        <w:adjustRightInd/>
        <w:snapToGrid/>
        <w:spacing w:line="540" w:lineRule="exact"/>
        <w:ind w:firstLine="640" w:firstLineChars="200"/>
        <w:jc w:val="both"/>
        <w:textAlignment w:val="auto"/>
        <w:rPr>
          <w:rFonts w:ascii="仿宋_GB2312" w:hAnsi="宋体" w:eastAsia="仿宋_GB2312" w:cs="Times New Roman"/>
          <w:color w:val="auto"/>
          <w:kern w:val="2"/>
          <w:sz w:val="32"/>
          <w:szCs w:val="32"/>
          <w:highlight w:val="none"/>
          <w:lang w:eastAsia="zh-CN"/>
        </w:rPr>
      </w:pPr>
      <w:r>
        <w:rPr>
          <w:rFonts w:hint="eastAsia" w:ascii="仿宋_GB2312" w:hAnsi="宋体" w:eastAsia="仿宋_GB2312" w:cs="Times New Roman"/>
          <w:color w:val="auto"/>
          <w:kern w:val="2"/>
          <w:sz w:val="32"/>
          <w:szCs w:val="32"/>
          <w:highlight w:val="none"/>
          <w:lang w:eastAsia="zh-CN"/>
        </w:rPr>
        <w:t>根据《报告表》评价结论</w:t>
      </w:r>
      <w:r>
        <w:rPr>
          <w:rFonts w:ascii="仿宋_GB2312" w:hAnsi="宋体" w:eastAsia="仿宋_GB2312" w:cs="Times New Roman"/>
          <w:color w:val="auto"/>
          <w:kern w:val="2"/>
          <w:sz w:val="32"/>
          <w:szCs w:val="32"/>
          <w:highlight w:val="none"/>
          <w:lang w:eastAsia="zh-CN"/>
        </w:rPr>
        <w:t>,</w:t>
      </w:r>
      <w:r>
        <w:rPr>
          <w:rFonts w:hint="eastAsia" w:ascii="仿宋_GB2312" w:hAnsi="宋体" w:eastAsia="仿宋_GB2312" w:cs="Times New Roman"/>
          <w:color w:val="auto"/>
          <w:kern w:val="2"/>
          <w:sz w:val="32"/>
          <w:szCs w:val="32"/>
          <w:highlight w:val="none"/>
          <w:lang w:eastAsia="zh-CN"/>
        </w:rPr>
        <w:t>该项目符合国家产业政策，符合生态环境分区管控要求，</w:t>
      </w:r>
      <w:r>
        <w:rPr>
          <w:rFonts w:hint="eastAsia" w:ascii="仿宋_GB2312" w:hAnsi="仿宋_GB2312" w:eastAsia="仿宋_GB2312" w:cs="仿宋_GB2312"/>
          <w:color w:val="auto"/>
          <w:sz w:val="32"/>
          <w:szCs w:val="32"/>
          <w:highlight w:val="none"/>
        </w:rPr>
        <w:t>符合《福州江阴港城经济区化工新材料专区总体发展规划</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lang w:eastAsia="zh-CN"/>
        </w:rPr>
        <w:t>2025-2030</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sz w:val="32"/>
          <w:szCs w:val="32"/>
          <w:highlight w:val="none"/>
          <w:lang w:eastAsia="zh-CN"/>
        </w:rPr>
        <w:t>其规划环评</w:t>
      </w:r>
      <w:r>
        <w:rPr>
          <w:rFonts w:hint="eastAsia" w:ascii="仿宋_GB2312" w:hAnsi="宋体" w:eastAsia="仿宋_GB2312" w:cs="Times New Roman"/>
          <w:color w:val="auto"/>
          <w:kern w:val="2"/>
          <w:sz w:val="32"/>
          <w:szCs w:val="32"/>
          <w:highlight w:val="none"/>
          <w:lang w:eastAsia="zh-CN"/>
        </w:rPr>
        <w:t>。在全面落实《报告表》提出的污染防治和风险防控措施，加强环境管理的前提下，从环境影响角度分析，项目建设是可行的。我局同意项目按照《报告表》所列的建设项目性质、规模、地点、工艺和拟采取的环境保护对策措施。</w:t>
      </w:r>
    </w:p>
    <w:p w14:paraId="7B4AB289">
      <w:pPr>
        <w:keepNext w:val="0"/>
        <w:keepLines w:val="0"/>
        <w:pageBreakBefore w:val="0"/>
        <w:widowControl w:val="0"/>
        <w:kinsoku/>
        <w:overflowPunct/>
        <w:topLinePunct w:val="0"/>
        <w:autoSpaceDE/>
        <w:autoSpaceDN/>
        <w:bidi w:val="0"/>
        <w:adjustRightInd/>
        <w:snapToGrid/>
        <w:spacing w:line="540" w:lineRule="exact"/>
        <w:ind w:firstLine="640" w:firstLineChars="200"/>
        <w:jc w:val="both"/>
        <w:textAlignment w:val="auto"/>
        <w:rPr>
          <w:rFonts w:ascii="仿宋_GB2312" w:hAnsi="宋体" w:eastAsia="仿宋_GB2312" w:cs="Times New Roman"/>
          <w:color w:val="auto"/>
          <w:kern w:val="2"/>
          <w:sz w:val="32"/>
          <w:szCs w:val="32"/>
          <w:highlight w:val="none"/>
          <w:lang w:eastAsia="zh-CN"/>
        </w:rPr>
      </w:pPr>
      <w:r>
        <w:rPr>
          <w:rFonts w:hint="eastAsia" w:ascii="仿宋_GB2312" w:hAnsi="宋体" w:eastAsia="仿宋_GB2312" w:cs="Times New Roman"/>
          <w:color w:val="auto"/>
          <w:kern w:val="2"/>
          <w:sz w:val="32"/>
          <w:szCs w:val="32"/>
          <w:highlight w:val="none"/>
          <w:lang w:eastAsia="zh-CN"/>
        </w:rPr>
        <w:t>二、项目在施工和运营中应认真落实《报告表》提出的各项污染防治措施</w:t>
      </w:r>
      <w:r>
        <w:rPr>
          <w:rFonts w:ascii="仿宋_GB2312" w:hAnsi="宋体" w:eastAsia="仿宋_GB2312" w:cs="Times New Roman"/>
          <w:color w:val="auto"/>
          <w:kern w:val="2"/>
          <w:sz w:val="32"/>
          <w:szCs w:val="32"/>
          <w:highlight w:val="none"/>
          <w:lang w:eastAsia="zh-CN"/>
        </w:rPr>
        <w:t>,</w:t>
      </w:r>
      <w:r>
        <w:rPr>
          <w:rFonts w:hint="eastAsia" w:ascii="仿宋_GB2312" w:hAnsi="宋体" w:eastAsia="仿宋_GB2312" w:cs="Times New Roman"/>
          <w:color w:val="auto"/>
          <w:kern w:val="2"/>
          <w:sz w:val="32"/>
          <w:szCs w:val="32"/>
          <w:highlight w:val="none"/>
          <w:lang w:eastAsia="zh-CN"/>
        </w:rPr>
        <w:t>并重点做好以下工作：</w:t>
      </w:r>
    </w:p>
    <w:p w14:paraId="3777D051">
      <w:pPr>
        <w:keepNext w:val="0"/>
        <w:keepLines w:val="0"/>
        <w:pageBreakBefore w:val="0"/>
        <w:widowControl w:val="0"/>
        <w:kinsoku/>
        <w:overflowPunct/>
        <w:topLinePunct w:val="0"/>
        <w:autoSpaceDE/>
        <w:autoSpaceDN/>
        <w:bidi w:val="0"/>
        <w:adjustRightInd/>
        <w:snapToGrid/>
        <w:spacing w:line="540" w:lineRule="exact"/>
        <w:ind w:firstLine="640" w:firstLineChars="200"/>
        <w:jc w:val="both"/>
        <w:textAlignment w:val="auto"/>
        <w:rPr>
          <w:rFonts w:ascii="仿宋_GB2312" w:hAnsi="宋体" w:eastAsia="仿宋_GB2312" w:cs="Times New Roman"/>
          <w:color w:val="auto"/>
          <w:kern w:val="2"/>
          <w:sz w:val="32"/>
          <w:szCs w:val="32"/>
          <w:highlight w:val="none"/>
          <w:lang w:eastAsia="zh-CN"/>
        </w:rPr>
      </w:pPr>
      <w:r>
        <w:rPr>
          <w:rFonts w:ascii="仿宋_GB2312" w:hAnsi="宋体" w:eastAsia="仿宋_GB2312" w:cs="Times New Roman"/>
          <w:color w:val="auto"/>
          <w:kern w:val="2"/>
          <w:sz w:val="32"/>
          <w:szCs w:val="32"/>
          <w:highlight w:val="none"/>
          <w:lang w:eastAsia="zh-CN"/>
        </w:rPr>
        <w:t>1</w:t>
      </w:r>
      <w:r>
        <w:rPr>
          <w:rFonts w:hint="eastAsia" w:ascii="仿宋_GB2312" w:hAnsi="宋体" w:eastAsia="仿宋_GB2312" w:cs="Times New Roman"/>
          <w:color w:val="auto"/>
          <w:kern w:val="2"/>
          <w:sz w:val="32"/>
          <w:szCs w:val="32"/>
          <w:highlight w:val="none"/>
          <w:lang w:eastAsia="zh-CN"/>
        </w:rPr>
        <w:t>、项目管道应严格按照《报告表》评价的园区公共管廊走向铺设，走向设计和建设应符合有关规范和生态环境保护的要求。</w:t>
      </w:r>
    </w:p>
    <w:p w14:paraId="58E11AB8">
      <w:pPr>
        <w:keepNext w:val="0"/>
        <w:keepLines w:val="0"/>
        <w:pageBreakBefore w:val="0"/>
        <w:widowControl w:val="0"/>
        <w:kinsoku/>
        <w:overflowPunct/>
        <w:topLinePunct w:val="0"/>
        <w:autoSpaceDE/>
        <w:autoSpaceDN/>
        <w:bidi w:val="0"/>
        <w:adjustRightInd/>
        <w:snapToGrid/>
        <w:spacing w:line="540" w:lineRule="exact"/>
        <w:ind w:firstLine="640" w:firstLineChars="200"/>
        <w:jc w:val="both"/>
        <w:textAlignment w:val="auto"/>
        <w:rPr>
          <w:rFonts w:ascii="仿宋_GB2312" w:hAnsi="宋体" w:eastAsia="仿宋_GB2312" w:cs="Times New Roman"/>
          <w:color w:val="auto"/>
          <w:kern w:val="2"/>
          <w:sz w:val="32"/>
          <w:szCs w:val="32"/>
          <w:highlight w:val="none"/>
          <w:lang w:eastAsia="zh-CN"/>
        </w:rPr>
      </w:pPr>
      <w:r>
        <w:rPr>
          <w:rFonts w:ascii="仿宋_GB2312" w:hAnsi="宋体" w:eastAsia="仿宋_GB2312" w:cs="Times New Roman"/>
          <w:color w:val="auto"/>
          <w:kern w:val="2"/>
          <w:sz w:val="32"/>
          <w:szCs w:val="32"/>
          <w:highlight w:val="none"/>
          <w:lang w:eastAsia="zh-CN"/>
        </w:rPr>
        <w:t>2</w:t>
      </w:r>
      <w:r>
        <w:rPr>
          <w:rFonts w:hint="eastAsia" w:ascii="仿宋_GB2312" w:hAnsi="宋体" w:eastAsia="仿宋_GB2312" w:cs="Times New Roman"/>
          <w:color w:val="auto"/>
          <w:kern w:val="2"/>
          <w:sz w:val="32"/>
          <w:szCs w:val="32"/>
          <w:highlight w:val="none"/>
          <w:lang w:eastAsia="zh-CN"/>
        </w:rPr>
        <w:t>、加强施工期的生态环境保护工作，合理安排作业时间、切实采取有效措施，严格控制施工过程产生的扬尘、污水、噪声和固废等，降低对周边环境造成的影响。</w:t>
      </w:r>
    </w:p>
    <w:p w14:paraId="3C8D07C2">
      <w:pPr>
        <w:keepNext w:val="0"/>
        <w:keepLines w:val="0"/>
        <w:pageBreakBefore w:val="0"/>
        <w:widowControl w:val="0"/>
        <w:kinsoku/>
        <w:overflowPunct/>
        <w:topLinePunct w:val="0"/>
        <w:autoSpaceDE/>
        <w:autoSpaceDN/>
        <w:bidi w:val="0"/>
        <w:adjustRightInd/>
        <w:snapToGrid/>
        <w:spacing w:line="540" w:lineRule="exact"/>
        <w:ind w:firstLine="640" w:firstLineChars="200"/>
        <w:jc w:val="both"/>
        <w:textAlignment w:val="auto"/>
        <w:rPr>
          <w:rFonts w:ascii="仿宋_GB2312" w:hAnsi="宋体" w:eastAsia="仿宋_GB2312" w:cs="Times New Roman"/>
          <w:color w:val="auto"/>
          <w:kern w:val="2"/>
          <w:sz w:val="32"/>
          <w:szCs w:val="32"/>
          <w:highlight w:val="none"/>
          <w:lang w:eastAsia="zh-CN"/>
        </w:rPr>
      </w:pPr>
      <w:r>
        <w:rPr>
          <w:rFonts w:hint="eastAsia" w:ascii="仿宋_GB2312" w:hAnsi="宋体" w:eastAsia="仿宋_GB2312" w:cs="Times New Roman"/>
          <w:color w:val="auto"/>
          <w:kern w:val="2"/>
          <w:sz w:val="32"/>
          <w:szCs w:val="32"/>
          <w:highlight w:val="none"/>
          <w:lang w:eastAsia="zh-CN"/>
        </w:rPr>
        <w:t>施工生活污水依托区域现有污水收集处理系统处理排放，试压废水进入万华环保科技（福建）有限公司综合废水处理系统处理达标后排放。</w:t>
      </w:r>
    </w:p>
    <w:p w14:paraId="55FF318E">
      <w:pPr>
        <w:keepNext w:val="0"/>
        <w:keepLines w:val="0"/>
        <w:pageBreakBefore w:val="0"/>
        <w:widowControl w:val="0"/>
        <w:kinsoku/>
        <w:overflowPunct/>
        <w:topLinePunct w:val="0"/>
        <w:autoSpaceDE/>
        <w:autoSpaceDN/>
        <w:bidi w:val="0"/>
        <w:adjustRightInd/>
        <w:snapToGrid/>
        <w:spacing w:line="540" w:lineRule="exact"/>
        <w:ind w:firstLine="640" w:firstLineChars="200"/>
        <w:jc w:val="both"/>
        <w:textAlignment w:val="auto"/>
        <w:rPr>
          <w:rFonts w:ascii="仿宋_GB2312" w:hAnsi="仿宋_GB2312" w:eastAsia="仿宋_GB2312" w:cs="仿宋_GB2312"/>
          <w:color w:val="auto"/>
          <w:sz w:val="32"/>
          <w:szCs w:val="32"/>
          <w:highlight w:val="none"/>
          <w:lang w:eastAsia="zh-CN"/>
        </w:rPr>
      </w:pPr>
      <w:r>
        <w:rPr>
          <w:rFonts w:hint="eastAsia" w:ascii="仿宋_GB2312" w:hAnsi="宋体" w:eastAsia="仿宋_GB2312" w:cs="Times New Roman"/>
          <w:color w:val="auto"/>
          <w:kern w:val="2"/>
          <w:sz w:val="32"/>
          <w:szCs w:val="32"/>
          <w:highlight w:val="none"/>
          <w:lang w:eastAsia="zh-CN"/>
        </w:rPr>
        <w:t>废焊条、废防腐、废保温材料等施工废料应由有主体资格和技术能力的单位进行回收利用。废油漆桶等危险废物应分类收集暂存，并委托有资质的危险废物处置单位进行安全处置。</w:t>
      </w:r>
      <w:r>
        <w:rPr>
          <w:rFonts w:hint="eastAsia" w:ascii="仿宋_GB2312" w:hAnsi="仿宋_GB2312" w:eastAsia="仿宋_GB2312" w:cs="仿宋_GB2312"/>
          <w:color w:val="auto"/>
          <w:sz w:val="32"/>
          <w:szCs w:val="32"/>
          <w:highlight w:val="none"/>
          <w:lang w:eastAsia="zh-CN"/>
        </w:rPr>
        <w:t>危险废物贮存执行《危险废物贮存污染控制标准》（</w:t>
      </w:r>
      <w:r>
        <w:rPr>
          <w:rFonts w:ascii="仿宋_GB2312" w:hAnsi="仿宋_GB2312" w:eastAsia="仿宋_GB2312" w:cs="仿宋_GB2312"/>
          <w:color w:val="auto"/>
          <w:sz w:val="32"/>
          <w:szCs w:val="32"/>
          <w:highlight w:val="none"/>
          <w:lang w:eastAsia="zh-CN"/>
        </w:rPr>
        <w:t>GB18597-2023</w:t>
      </w:r>
      <w:r>
        <w:rPr>
          <w:rFonts w:hint="eastAsia" w:ascii="仿宋_GB2312" w:hAnsi="仿宋_GB2312" w:eastAsia="仿宋_GB2312" w:cs="仿宋_GB2312"/>
          <w:color w:val="auto"/>
          <w:sz w:val="32"/>
          <w:szCs w:val="32"/>
          <w:highlight w:val="none"/>
          <w:lang w:eastAsia="zh-CN"/>
        </w:rPr>
        <w:t>）相关规定，转移执行《危险废物转移管理办法》（部令第</w:t>
      </w:r>
      <w:r>
        <w:rPr>
          <w:rFonts w:ascii="仿宋_GB2312" w:hAnsi="仿宋_GB2312" w:eastAsia="仿宋_GB2312" w:cs="仿宋_GB2312"/>
          <w:color w:val="auto"/>
          <w:sz w:val="32"/>
          <w:szCs w:val="32"/>
          <w:highlight w:val="none"/>
          <w:lang w:eastAsia="zh-CN"/>
        </w:rPr>
        <w:t>23</w:t>
      </w:r>
      <w:r>
        <w:rPr>
          <w:rFonts w:hint="eastAsia" w:ascii="仿宋_GB2312" w:hAnsi="仿宋_GB2312" w:eastAsia="仿宋_GB2312" w:cs="仿宋_GB2312"/>
          <w:color w:val="auto"/>
          <w:sz w:val="32"/>
          <w:szCs w:val="32"/>
          <w:highlight w:val="none"/>
          <w:lang w:eastAsia="zh-CN"/>
        </w:rPr>
        <w:t>号）相关规定。</w:t>
      </w:r>
    </w:p>
    <w:p w14:paraId="3737BF2F">
      <w:pPr>
        <w:keepNext w:val="0"/>
        <w:keepLines w:val="0"/>
        <w:pageBreakBefore w:val="0"/>
        <w:widowControl w:val="0"/>
        <w:kinsoku/>
        <w:overflowPunct/>
        <w:topLinePunct w:val="0"/>
        <w:autoSpaceDE/>
        <w:autoSpaceDN/>
        <w:bidi w:val="0"/>
        <w:adjustRightInd/>
        <w:snapToGrid/>
        <w:spacing w:line="540" w:lineRule="exact"/>
        <w:ind w:firstLine="640" w:firstLineChars="200"/>
        <w:jc w:val="both"/>
        <w:textAlignment w:val="auto"/>
        <w:rPr>
          <w:rFonts w:ascii="仿宋_GB2312" w:hAnsi="宋体" w:eastAsia="仿宋_GB2312" w:cs="Times New Roman"/>
          <w:color w:val="auto"/>
          <w:kern w:val="2"/>
          <w:sz w:val="32"/>
          <w:szCs w:val="32"/>
          <w:highlight w:val="none"/>
          <w:lang w:eastAsia="zh-CN"/>
        </w:rPr>
      </w:pPr>
      <w:r>
        <w:rPr>
          <w:rFonts w:hint="eastAsia" w:ascii="仿宋_GB2312" w:hAnsi="宋体" w:eastAsia="仿宋_GB2312" w:cs="Times New Roman"/>
          <w:color w:val="auto"/>
          <w:kern w:val="2"/>
          <w:sz w:val="32"/>
          <w:szCs w:val="32"/>
          <w:highlight w:val="none"/>
          <w:lang w:eastAsia="zh-CN"/>
        </w:rPr>
        <w:t>合理安排施工时间，优先选用低噪声设备，施工期噪声执行《建筑施工噪声排放标准》（</w:t>
      </w:r>
      <w:r>
        <w:rPr>
          <w:rFonts w:ascii="仿宋_GB2312" w:hAnsi="宋体" w:eastAsia="仿宋_GB2312" w:cs="Times New Roman"/>
          <w:color w:val="auto"/>
          <w:kern w:val="2"/>
          <w:sz w:val="32"/>
          <w:szCs w:val="32"/>
          <w:highlight w:val="none"/>
          <w:lang w:eastAsia="zh-CN"/>
        </w:rPr>
        <w:t>GB12523-2025</w:t>
      </w:r>
      <w:r>
        <w:rPr>
          <w:rFonts w:hint="eastAsia" w:ascii="仿宋_GB2312" w:hAnsi="宋体" w:eastAsia="仿宋_GB2312" w:cs="Times New Roman"/>
          <w:color w:val="auto"/>
          <w:kern w:val="2"/>
          <w:sz w:val="32"/>
          <w:szCs w:val="32"/>
          <w:highlight w:val="none"/>
          <w:lang w:eastAsia="zh-CN"/>
        </w:rPr>
        <w:t>）。</w:t>
      </w:r>
    </w:p>
    <w:p w14:paraId="6AB798CC">
      <w:pPr>
        <w:keepNext w:val="0"/>
        <w:keepLines w:val="0"/>
        <w:pageBreakBefore w:val="0"/>
        <w:overflowPunct/>
        <w:topLinePunct w:val="0"/>
        <w:bidi w:val="0"/>
        <w:spacing w:line="540" w:lineRule="exact"/>
        <w:ind w:firstLine="640" w:firstLineChars="200"/>
        <w:rPr>
          <w:color w:val="auto"/>
          <w:highlight w:val="none"/>
        </w:rPr>
      </w:pPr>
      <w:r>
        <w:rPr>
          <w:rFonts w:ascii="仿宋_GB2312" w:hAnsi="宋体" w:eastAsia="仿宋_GB2312" w:cs="Times New Roman"/>
          <w:color w:val="auto"/>
          <w:kern w:val="2"/>
          <w:sz w:val="32"/>
          <w:szCs w:val="32"/>
          <w:highlight w:val="none"/>
          <w:lang w:eastAsia="zh-CN"/>
        </w:rPr>
        <w:t>3</w:t>
      </w:r>
      <w:r>
        <w:rPr>
          <w:rFonts w:hint="eastAsia" w:ascii="仿宋_GB2312" w:hAnsi="宋体" w:eastAsia="仿宋_GB2312" w:cs="Times New Roman"/>
          <w:color w:val="auto"/>
          <w:kern w:val="2"/>
          <w:sz w:val="32"/>
          <w:szCs w:val="32"/>
          <w:highlight w:val="none"/>
          <w:lang w:eastAsia="zh-CN"/>
        </w:rPr>
        <w:t>、严格做好</w:t>
      </w:r>
      <w:r>
        <w:rPr>
          <w:rFonts w:hint="eastAsia" w:ascii="仿宋_GB2312" w:hAnsi="宋体" w:eastAsia="仿宋_GB2312"/>
          <w:color w:val="auto"/>
          <w:sz w:val="32"/>
          <w:szCs w:val="32"/>
          <w:highlight w:val="none"/>
        </w:rPr>
        <w:t>运营期生态环境保护和</w:t>
      </w:r>
      <w:r>
        <w:rPr>
          <w:rFonts w:hint="eastAsia" w:ascii="仿宋_GB2312" w:hAnsi="宋体" w:eastAsia="仿宋_GB2312" w:cs="Times New Roman"/>
          <w:color w:val="auto"/>
          <w:kern w:val="2"/>
          <w:sz w:val="32"/>
          <w:szCs w:val="32"/>
          <w:highlight w:val="none"/>
          <w:lang w:eastAsia="zh-CN"/>
        </w:rPr>
        <w:t>环境风险防范工作。认真落实《报告表》提出的环境风险防范措施要求，配套建设相应的环境风险防范设施；切实做好施工安全管理，妥善处理与工程相邻重要管线关系，避免因安全事故引发生态环境风险；</w:t>
      </w:r>
      <w:r>
        <w:rPr>
          <w:rFonts w:hint="eastAsia" w:ascii="仿宋_GB2312" w:hAnsi="宋体" w:eastAsia="仿宋_GB2312"/>
          <w:color w:val="auto"/>
          <w:sz w:val="32"/>
          <w:szCs w:val="32"/>
          <w:highlight w:val="none"/>
        </w:rPr>
        <w:t>做好事故应急池等应急设施的依托和互联互通等衔接工作；及时修编突发环境事件应急预案并报生态环境部门备案，完善</w:t>
      </w:r>
      <w:r>
        <w:rPr>
          <w:rFonts w:hint="eastAsia" w:ascii="仿宋_GB2312" w:hAnsi="仿宋" w:eastAsia="仿宋_GB2312"/>
          <w:color w:val="auto"/>
          <w:sz w:val="32"/>
          <w:szCs w:val="32"/>
          <w:highlight w:val="none"/>
        </w:rPr>
        <w:t>与</w:t>
      </w:r>
      <w:r>
        <w:rPr>
          <w:rFonts w:hint="eastAsia" w:ascii="仿宋_GB2312" w:eastAsia="仿宋_GB2312"/>
          <w:color w:val="auto"/>
          <w:sz w:val="32"/>
          <w:szCs w:val="32"/>
          <w:highlight w:val="none"/>
        </w:rPr>
        <w:t>园区、</w:t>
      </w:r>
      <w:r>
        <w:rPr>
          <w:rFonts w:hint="eastAsia" w:ascii="仿宋_GB2312" w:hAnsi="仿宋" w:eastAsia="仿宋_GB2312"/>
          <w:color w:val="auto"/>
          <w:sz w:val="32"/>
          <w:szCs w:val="32"/>
          <w:highlight w:val="none"/>
        </w:rPr>
        <w:t>当地政府</w:t>
      </w:r>
      <w:r>
        <w:rPr>
          <w:rFonts w:hint="eastAsia" w:ascii="仿宋_GB2312" w:eastAsia="仿宋_GB2312"/>
          <w:color w:val="auto"/>
          <w:sz w:val="32"/>
          <w:szCs w:val="32"/>
          <w:highlight w:val="none"/>
        </w:rPr>
        <w:t>及相关部门</w:t>
      </w:r>
      <w:r>
        <w:rPr>
          <w:rFonts w:hint="eastAsia" w:ascii="仿宋_GB2312" w:hAnsi="仿宋" w:eastAsia="仿宋_GB2312"/>
          <w:color w:val="auto"/>
          <w:sz w:val="32"/>
          <w:szCs w:val="32"/>
          <w:highlight w:val="none"/>
        </w:rPr>
        <w:t>应急联动机制。定期开展应急演练，提升监控预警与应急处置能力，杜绝环境风险事故发生，确保环境安全。</w:t>
      </w:r>
    </w:p>
    <w:p w14:paraId="7A1FD47F">
      <w:pPr>
        <w:keepNext w:val="0"/>
        <w:keepLines w:val="0"/>
        <w:pageBreakBefore w:val="0"/>
        <w:widowControl w:val="0"/>
        <w:kinsoku/>
        <w:overflowPunct/>
        <w:topLinePunct w:val="0"/>
        <w:autoSpaceDE/>
        <w:autoSpaceDN/>
        <w:bidi w:val="0"/>
        <w:spacing w:line="540" w:lineRule="exact"/>
        <w:ind w:firstLine="640" w:firstLineChars="200"/>
        <w:jc w:val="both"/>
        <w:textAlignment w:val="auto"/>
        <w:rPr>
          <w:rFonts w:ascii="仿宋_GB2312" w:hAnsi="Times New Roman" w:eastAsia="仿宋_GB2312" w:cs="宋体"/>
          <w:sz w:val="32"/>
          <w:szCs w:val="32"/>
          <w:highlight w:val="none"/>
          <w:lang w:eastAsia="zh-CN"/>
        </w:rPr>
      </w:pPr>
      <w:r>
        <w:rPr>
          <w:rFonts w:hint="eastAsia" w:ascii="仿宋_GB2312" w:eastAsia="仿宋_GB2312"/>
          <w:color w:val="auto"/>
          <w:sz w:val="32"/>
          <w:szCs w:val="32"/>
          <w:highlight w:val="none"/>
          <w:lang w:eastAsia="zh-CN"/>
        </w:rPr>
        <w:t>三、</w:t>
      </w:r>
      <w:r>
        <w:rPr>
          <w:rFonts w:hint="eastAsia" w:ascii="仿宋_GB2312" w:hAnsi="Times New Roman" w:eastAsia="仿宋_GB2312" w:cs="宋体"/>
          <w:color w:val="auto"/>
          <w:sz w:val="32"/>
          <w:szCs w:val="32"/>
          <w:highlight w:val="none"/>
          <w:lang w:eastAsia="zh-CN"/>
        </w:rPr>
        <w:t>《报告表</w:t>
      </w:r>
      <w:r>
        <w:rPr>
          <w:rFonts w:hint="eastAsia" w:ascii="仿宋_GB2312" w:hAnsi="Times New Roman" w:eastAsia="仿宋_GB2312" w:cs="宋体"/>
          <w:sz w:val="32"/>
          <w:szCs w:val="32"/>
          <w:highlight w:val="none"/>
          <w:lang w:eastAsia="zh-CN"/>
        </w:rPr>
        <w:t>》批准后，如建设项目的性质、规模、地点、采用的生产工艺或者防治污染、防止生态破坏的措施发生重大变动的，应当依法重新报批项目环评。《报告表》自批准之日起满</w:t>
      </w:r>
      <w:r>
        <w:rPr>
          <w:rFonts w:ascii="仿宋_GB2312" w:hAnsi="Times New Roman" w:eastAsia="仿宋_GB2312" w:cs="宋体"/>
          <w:sz w:val="32"/>
          <w:szCs w:val="32"/>
          <w:highlight w:val="none"/>
          <w:lang w:eastAsia="zh-CN"/>
        </w:rPr>
        <w:t>5</w:t>
      </w:r>
      <w:r>
        <w:rPr>
          <w:rFonts w:hint="eastAsia" w:ascii="仿宋_GB2312" w:hAnsi="Times New Roman" w:eastAsia="仿宋_GB2312" w:cs="宋体"/>
          <w:sz w:val="32"/>
          <w:szCs w:val="32"/>
          <w:highlight w:val="none"/>
          <w:lang w:eastAsia="zh-CN"/>
        </w:rPr>
        <w:t>年，项目方开工建设的，其环评应当依法报生态环境部门重新审核。</w:t>
      </w:r>
    </w:p>
    <w:p w14:paraId="2C6E49D5">
      <w:pPr>
        <w:keepNext w:val="0"/>
        <w:keepLines w:val="0"/>
        <w:pageBreakBefore w:val="0"/>
        <w:widowControl w:val="0"/>
        <w:overflowPunct/>
        <w:topLinePunct w:val="0"/>
        <w:bidi w:val="0"/>
        <w:spacing w:line="540" w:lineRule="exact"/>
        <w:ind w:firstLine="624" w:firstLineChars="195"/>
        <w:jc w:val="both"/>
        <w:rPr>
          <w:rFonts w:ascii="仿宋_GB2312" w:hAnsi="Times New Roman" w:eastAsia="仿宋_GB2312" w:cs="宋体"/>
          <w:sz w:val="32"/>
          <w:szCs w:val="32"/>
          <w:highlight w:val="none"/>
          <w:lang w:eastAsia="zh-CN"/>
        </w:rPr>
      </w:pPr>
      <w:r>
        <w:rPr>
          <w:rFonts w:hint="eastAsia" w:ascii="仿宋_GB2312" w:hAnsi="Times New Roman" w:eastAsia="仿宋_GB2312" w:cs="宋体"/>
          <w:sz w:val="32"/>
          <w:szCs w:val="32"/>
          <w:highlight w:val="none"/>
          <w:lang w:eastAsia="zh-CN"/>
        </w:rPr>
        <w:t>四、项目应加强环境管理，推进落实各项生态环境保护措施。严格执行环境保护“三同时”制度，加强施工期环境管理。竣工后应按规定程序实施竣工环境保护验收。</w:t>
      </w:r>
    </w:p>
    <w:p w14:paraId="333E432E">
      <w:pPr>
        <w:keepNext w:val="0"/>
        <w:keepLines w:val="0"/>
        <w:pageBreakBefore w:val="0"/>
        <w:widowControl w:val="0"/>
        <w:kinsoku/>
        <w:overflowPunct/>
        <w:topLinePunct w:val="0"/>
        <w:autoSpaceDE/>
        <w:autoSpaceDN/>
        <w:bidi w:val="0"/>
        <w:adjustRightInd/>
        <w:snapToGrid/>
        <w:spacing w:line="540" w:lineRule="exact"/>
        <w:ind w:firstLine="645"/>
        <w:jc w:val="both"/>
        <w:textAlignment w:val="auto"/>
        <w:rPr>
          <w:rFonts w:ascii="仿宋_GB2312" w:eastAsia="仿宋_GB2312"/>
          <w:color w:val="auto"/>
          <w:sz w:val="32"/>
          <w:szCs w:val="32"/>
          <w:highlight w:val="none"/>
          <w:lang w:eastAsia="zh-CN"/>
        </w:rPr>
      </w:pPr>
      <w:r>
        <w:rPr>
          <w:rFonts w:hint="eastAsia" w:ascii="仿宋_GB2312" w:hAnsi="Times New Roman" w:eastAsia="仿宋_GB2312" w:cs="宋体"/>
          <w:sz w:val="32"/>
          <w:szCs w:val="32"/>
          <w:highlight w:val="none"/>
          <w:lang w:eastAsia="zh-CN"/>
        </w:rPr>
        <w:t>五、我局委托福州市生态环境保护综合执法支队开展该项目环保“三同时”监督检查，竣工后，由福州市福清生态环境局负责该项目日常环保监督管理工作。</w:t>
      </w:r>
    </w:p>
    <w:p w14:paraId="009BBB4A">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ascii="仿宋_GB2312" w:hAnsi="宋体" w:eastAsia="仿宋_GB2312" w:cs="Times New Roman"/>
          <w:color w:val="auto"/>
          <w:kern w:val="2"/>
          <w:sz w:val="32"/>
          <w:szCs w:val="32"/>
          <w:highlight w:val="none"/>
          <w:lang w:eastAsia="zh-CN"/>
        </w:rPr>
      </w:pPr>
      <w:r>
        <w:rPr>
          <w:rFonts w:hint="eastAsia" w:ascii="仿宋_GB2312" w:hAnsi="宋体" w:eastAsia="仿宋_GB2312" w:cs="Times New Roman"/>
          <w:color w:val="auto"/>
          <w:kern w:val="2"/>
          <w:sz w:val="32"/>
          <w:szCs w:val="32"/>
          <w:highlight w:val="none"/>
          <w:lang w:eastAsia="zh-CN"/>
        </w:rPr>
        <w:t>福州市生态环境局</w:t>
      </w:r>
      <w:r>
        <w:rPr>
          <w:rFonts w:ascii="仿宋_GB2312" w:hAnsi="宋体" w:eastAsia="仿宋_GB2312" w:cs="Times New Roman"/>
          <w:color w:val="auto"/>
          <w:kern w:val="2"/>
          <w:sz w:val="32"/>
          <w:szCs w:val="32"/>
          <w:highlight w:val="none"/>
          <w:lang w:eastAsia="zh-CN"/>
        </w:rPr>
        <w:t xml:space="preserve">        </w:t>
      </w:r>
    </w:p>
    <w:tbl>
      <w:tblPr>
        <w:tblStyle w:val="6"/>
        <w:tblpPr w:leftFromText="180" w:rightFromText="180" w:vertAnchor="text" w:horzAnchor="page" w:tblpX="1571" w:tblpY="1582"/>
        <w:tblOverlap w:val="never"/>
        <w:tblW w:w="5000" w:type="pct"/>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0" w:type="dxa"/>
          <w:bottom w:w="0" w:type="dxa"/>
          <w:right w:w="0" w:type="dxa"/>
        </w:tblCellMar>
      </w:tblPr>
      <w:tblGrid>
        <w:gridCol w:w="1185"/>
        <w:gridCol w:w="4142"/>
        <w:gridCol w:w="3511"/>
      </w:tblGrid>
      <w:tr w14:paraId="1C08958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66" w:hRule="atLeast"/>
        </w:trPr>
        <w:tc>
          <w:tcPr>
            <w:tcW w:w="670" w:type="pct"/>
            <w:tcBorders>
              <w:top w:val="single" w:color="000000" w:sz="4" w:space="0"/>
              <w:bottom w:val="single" w:color="000000" w:sz="4" w:space="0"/>
            </w:tcBorders>
            <w:vAlign w:val="center"/>
          </w:tcPr>
          <w:p w14:paraId="3A9C3499">
            <w:pPr>
              <w:widowControl w:val="0"/>
              <w:kinsoku/>
              <w:autoSpaceDE/>
              <w:autoSpaceDN/>
              <w:adjustRightInd/>
              <w:snapToGrid/>
              <w:spacing w:line="560" w:lineRule="exact"/>
              <w:jc w:val="center"/>
              <w:textAlignment w:val="auto"/>
              <w:rPr>
                <w:rFonts w:ascii="仿宋_GB2312" w:hAnsi="宋体" w:eastAsia="仿宋_GB2312" w:cs="Times New Roman"/>
                <w:color w:val="auto"/>
                <w:kern w:val="2"/>
                <w:sz w:val="32"/>
                <w:szCs w:val="32"/>
                <w:highlight w:val="none"/>
                <w:lang w:eastAsia="zh-CN"/>
              </w:rPr>
            </w:pPr>
            <w:r>
              <w:rPr>
                <w:rFonts w:hint="eastAsia" w:ascii="仿宋_GB2312" w:hAnsi="宋体" w:eastAsia="仿宋_GB2312" w:cs="Times New Roman"/>
                <w:color w:val="auto"/>
                <w:kern w:val="2"/>
                <w:sz w:val="32"/>
                <w:szCs w:val="32"/>
                <w:highlight w:val="none"/>
                <w:lang w:eastAsia="zh-CN"/>
              </w:rPr>
              <w:t>抄送：</w:t>
            </w:r>
          </w:p>
        </w:tc>
        <w:tc>
          <w:tcPr>
            <w:tcW w:w="4329" w:type="pct"/>
            <w:gridSpan w:val="2"/>
            <w:tcBorders>
              <w:top w:val="single" w:color="000000" w:sz="4" w:space="0"/>
              <w:bottom w:val="single" w:color="000000" w:sz="4" w:space="0"/>
            </w:tcBorders>
          </w:tcPr>
          <w:p w14:paraId="422BB16D">
            <w:pPr>
              <w:widowControl w:val="0"/>
              <w:kinsoku/>
              <w:autoSpaceDE/>
              <w:autoSpaceDN/>
              <w:adjustRightInd/>
              <w:snapToGrid/>
              <w:spacing w:line="560" w:lineRule="exact"/>
              <w:jc w:val="both"/>
              <w:textAlignment w:val="auto"/>
              <w:rPr>
                <w:rFonts w:ascii="宋体" w:hAnsi="宋体" w:cs="宋体"/>
                <w:color w:val="auto"/>
                <w:sz w:val="28"/>
                <w:szCs w:val="28"/>
                <w:highlight w:val="none"/>
              </w:rPr>
            </w:pPr>
            <w:r>
              <w:rPr>
                <w:rFonts w:hint="eastAsia" w:ascii="仿宋_GB2312" w:hAnsi="Times New Roman" w:eastAsia="仿宋_GB2312" w:cs="仿宋_GB2312"/>
                <w:kern w:val="2"/>
                <w:sz w:val="28"/>
                <w:szCs w:val="20"/>
                <w:highlight w:val="none"/>
                <w:lang w:eastAsia="zh-CN"/>
              </w:rPr>
              <w:t>福州市生态环境保护综合执法支队，福州市福清生态环境局，福建省金皇环保科技股份有限公司。</w:t>
            </w:r>
          </w:p>
        </w:tc>
      </w:tr>
      <w:tr w14:paraId="444795E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3" w:hRule="atLeast"/>
        </w:trPr>
        <w:tc>
          <w:tcPr>
            <w:tcW w:w="3013" w:type="pct"/>
            <w:gridSpan w:val="2"/>
            <w:tcBorders>
              <w:top w:val="single" w:color="000000" w:sz="4" w:space="0"/>
              <w:bottom w:val="single" w:color="000000" w:sz="4" w:space="0"/>
            </w:tcBorders>
          </w:tcPr>
          <w:p w14:paraId="4A010A8B">
            <w:pPr>
              <w:widowControl w:val="0"/>
              <w:kinsoku/>
              <w:autoSpaceDE/>
              <w:autoSpaceDN/>
              <w:adjustRightInd/>
              <w:snapToGrid/>
              <w:spacing w:line="560" w:lineRule="exact"/>
              <w:jc w:val="both"/>
              <w:textAlignment w:val="auto"/>
              <w:rPr>
                <w:rFonts w:ascii="宋体" w:hAnsi="宋体" w:cs="宋体"/>
                <w:color w:val="auto"/>
                <w:sz w:val="24"/>
                <w:szCs w:val="24"/>
                <w:highlight w:val="none"/>
              </w:rPr>
            </w:pPr>
            <w:r>
              <w:rPr>
                <w:rFonts w:hint="eastAsia" w:ascii="仿宋_GB2312" w:hAnsi="宋体" w:eastAsia="仿宋_GB2312" w:cs="Times New Roman"/>
                <w:color w:val="auto"/>
                <w:kern w:val="2"/>
                <w:sz w:val="28"/>
                <w:szCs w:val="28"/>
                <w:highlight w:val="none"/>
                <w:lang w:eastAsia="zh-CN"/>
              </w:rPr>
              <w:t>福州市生态环境局</w:t>
            </w:r>
          </w:p>
        </w:tc>
        <w:tc>
          <w:tcPr>
            <w:tcW w:w="1986" w:type="pct"/>
            <w:tcBorders>
              <w:top w:val="single" w:color="000000" w:sz="4" w:space="0"/>
              <w:bottom w:val="single" w:color="000000" w:sz="4" w:space="0"/>
            </w:tcBorders>
          </w:tcPr>
          <w:p w14:paraId="5D8A09A7">
            <w:pPr>
              <w:widowControl w:val="0"/>
              <w:kinsoku/>
              <w:autoSpaceDE/>
              <w:autoSpaceDN/>
              <w:adjustRightInd/>
              <w:snapToGrid/>
              <w:spacing w:line="560" w:lineRule="exact"/>
              <w:jc w:val="both"/>
              <w:textAlignment w:val="auto"/>
              <w:rPr>
                <w:rFonts w:ascii="宋体" w:hAnsi="宋体" w:cs="宋体"/>
                <w:color w:val="auto"/>
                <w:sz w:val="24"/>
                <w:szCs w:val="24"/>
                <w:highlight w:val="none"/>
              </w:rPr>
            </w:pPr>
            <w:r>
              <w:rPr>
                <w:rFonts w:ascii="仿宋_GB2312" w:hAnsi="宋体" w:eastAsia="仿宋_GB2312" w:cs="Times New Roman"/>
                <w:color w:val="auto"/>
                <w:kern w:val="2"/>
                <w:sz w:val="28"/>
                <w:szCs w:val="28"/>
                <w:highlight w:val="none"/>
                <w:lang w:eastAsia="zh-CN"/>
              </w:rPr>
              <w:t>2026</w:t>
            </w:r>
            <w:r>
              <w:rPr>
                <w:rFonts w:hint="eastAsia" w:ascii="仿宋_GB2312" w:hAnsi="宋体" w:eastAsia="仿宋_GB2312" w:cs="Times New Roman"/>
                <w:color w:val="auto"/>
                <w:kern w:val="2"/>
                <w:sz w:val="28"/>
                <w:szCs w:val="28"/>
                <w:highlight w:val="none"/>
                <w:lang w:eastAsia="zh-CN"/>
              </w:rPr>
              <w:t>年</w:t>
            </w:r>
            <w:r>
              <w:rPr>
                <w:rFonts w:ascii="仿宋_GB2312" w:hAnsi="宋体" w:eastAsia="仿宋_GB2312" w:cs="Times New Roman"/>
                <w:color w:val="auto"/>
                <w:kern w:val="2"/>
                <w:sz w:val="28"/>
                <w:szCs w:val="28"/>
                <w:highlight w:val="none"/>
                <w:lang w:eastAsia="zh-CN"/>
              </w:rPr>
              <w:t>3</w:t>
            </w:r>
            <w:r>
              <w:rPr>
                <w:rFonts w:hint="eastAsia" w:ascii="仿宋_GB2312" w:hAnsi="宋体" w:eastAsia="仿宋_GB2312" w:cs="Times New Roman"/>
                <w:color w:val="auto"/>
                <w:kern w:val="2"/>
                <w:sz w:val="28"/>
                <w:szCs w:val="28"/>
                <w:highlight w:val="none"/>
                <w:lang w:eastAsia="zh-CN"/>
              </w:rPr>
              <w:t>月</w:t>
            </w:r>
            <w:r>
              <w:rPr>
                <w:rFonts w:hint="eastAsia" w:ascii="仿宋_GB2312" w:hAnsi="宋体" w:eastAsia="仿宋_GB2312" w:cs="Times New Roman"/>
                <w:color w:val="auto"/>
                <w:kern w:val="2"/>
                <w:sz w:val="28"/>
                <w:szCs w:val="28"/>
                <w:highlight w:val="none"/>
                <w:lang w:val="en-US" w:eastAsia="zh-CN"/>
              </w:rPr>
              <w:t>31</w:t>
            </w:r>
            <w:r>
              <w:rPr>
                <w:rFonts w:hint="eastAsia" w:ascii="仿宋_GB2312" w:hAnsi="宋体" w:eastAsia="仿宋_GB2312" w:cs="Times New Roman"/>
                <w:color w:val="auto"/>
                <w:kern w:val="2"/>
                <w:sz w:val="28"/>
                <w:szCs w:val="28"/>
                <w:highlight w:val="none"/>
                <w:lang w:eastAsia="zh-CN"/>
              </w:rPr>
              <w:t>日印发</w:t>
            </w:r>
          </w:p>
        </w:tc>
      </w:tr>
    </w:tbl>
    <w:p w14:paraId="47D3BE70">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ascii="仿宋_GB2312" w:hAnsi="宋体" w:eastAsia="仿宋_GB2312" w:cs="Times New Roman"/>
          <w:color w:val="auto"/>
          <w:kern w:val="2"/>
          <w:sz w:val="32"/>
          <w:szCs w:val="32"/>
          <w:highlight w:val="none"/>
          <w:lang w:eastAsia="zh-CN"/>
        </w:rPr>
      </w:pPr>
      <w:r>
        <w:rPr>
          <w:rFonts w:ascii="仿宋_GB2312" w:hAnsi="宋体" w:eastAsia="仿宋_GB2312" w:cs="Times New Roman"/>
          <w:color w:val="auto"/>
          <w:kern w:val="2"/>
          <w:sz w:val="32"/>
          <w:szCs w:val="32"/>
          <w:highlight w:val="none"/>
          <w:lang w:eastAsia="zh-CN"/>
        </w:rPr>
        <w:t>2026</w:t>
      </w:r>
      <w:r>
        <w:rPr>
          <w:rFonts w:hint="eastAsia" w:ascii="仿宋_GB2312" w:hAnsi="宋体" w:eastAsia="仿宋_GB2312" w:cs="Times New Roman"/>
          <w:color w:val="auto"/>
          <w:kern w:val="2"/>
          <w:sz w:val="32"/>
          <w:szCs w:val="32"/>
          <w:highlight w:val="none"/>
          <w:lang w:eastAsia="zh-CN"/>
        </w:rPr>
        <w:t>年</w:t>
      </w:r>
      <w:r>
        <w:rPr>
          <w:rFonts w:ascii="仿宋_GB2312" w:hAnsi="宋体" w:eastAsia="仿宋_GB2312" w:cs="Times New Roman"/>
          <w:color w:val="auto"/>
          <w:kern w:val="2"/>
          <w:sz w:val="32"/>
          <w:szCs w:val="32"/>
          <w:highlight w:val="none"/>
          <w:lang w:eastAsia="zh-CN"/>
        </w:rPr>
        <w:t>3</w:t>
      </w:r>
      <w:r>
        <w:rPr>
          <w:rFonts w:hint="eastAsia" w:ascii="仿宋_GB2312" w:hAnsi="宋体" w:eastAsia="仿宋_GB2312" w:cs="Times New Roman"/>
          <w:color w:val="auto"/>
          <w:kern w:val="2"/>
          <w:sz w:val="32"/>
          <w:szCs w:val="32"/>
          <w:highlight w:val="none"/>
          <w:lang w:eastAsia="zh-CN"/>
        </w:rPr>
        <w:t>月</w:t>
      </w:r>
      <w:r>
        <w:rPr>
          <w:rFonts w:hint="eastAsia" w:ascii="仿宋_GB2312" w:hAnsi="宋体" w:eastAsia="仿宋_GB2312" w:cs="Times New Roman"/>
          <w:color w:val="auto"/>
          <w:kern w:val="2"/>
          <w:sz w:val="32"/>
          <w:szCs w:val="32"/>
          <w:highlight w:val="none"/>
          <w:lang w:val="en-US" w:eastAsia="zh-CN"/>
        </w:rPr>
        <w:t>31</w:t>
      </w:r>
      <w:r>
        <w:rPr>
          <w:rFonts w:hint="eastAsia" w:ascii="仿宋_GB2312" w:hAnsi="宋体" w:eastAsia="仿宋_GB2312" w:cs="Times New Roman"/>
          <w:color w:val="auto"/>
          <w:kern w:val="2"/>
          <w:sz w:val="32"/>
          <w:szCs w:val="32"/>
          <w:highlight w:val="none"/>
          <w:lang w:eastAsia="zh-CN"/>
        </w:rPr>
        <w:t>日</w:t>
      </w:r>
      <w:r>
        <w:rPr>
          <w:rFonts w:ascii="仿宋_GB2312" w:hAnsi="宋体" w:eastAsia="仿宋_GB2312" w:cs="Times New Roman"/>
          <w:color w:val="auto"/>
          <w:kern w:val="2"/>
          <w:sz w:val="32"/>
          <w:szCs w:val="32"/>
          <w:highlight w:val="none"/>
          <w:lang w:eastAsia="zh-CN"/>
        </w:rPr>
        <w:t xml:space="preserve">        </w:t>
      </w:r>
    </w:p>
    <w:p w14:paraId="1EDC2EED">
      <w:pPr>
        <w:pStyle w:val="2"/>
        <w:ind w:left="0" w:leftChars="0" w:firstLine="0" w:firstLineChars="0"/>
        <w:rPr>
          <w:rFonts w:hint="default"/>
          <w:lang w:val="en-US" w:eastAsia="zh-CN"/>
        </w:rPr>
      </w:pPr>
      <w:bookmarkStart w:id="0" w:name="_GoBack"/>
      <w:bookmarkEnd w:id="0"/>
    </w:p>
    <w:sectPr>
      <w:headerReference r:id="rId3" w:type="default"/>
      <w:footerReference r:id="rId4" w:type="default"/>
      <w:pgSz w:w="11900" w:h="16820"/>
      <w:pgMar w:top="1587" w:right="1531" w:bottom="1587" w:left="153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2977">
    <w:pPr>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17E8F">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noLineBreaksAfter w:lang="zh-CN" w:val="$([{£¥·‘“〈《「『【〔〖〝﹙﹛﹝＄（．［｛￡￥"/>
  <w:noLineBreaksBefore w:lang="zh-CN" w:val="!%),.:;&gt;?]}¢¨°·ˇˉ―‖’”…‰′″›℃∶、。〃〉》」』】〕〗〞︶︺︾﹀﹄﹚﹜﹞！＂％＇），．：；？］｀｜｝～￠"/>
  <w:compat>
    <w:spaceForUL/>
    <w:ulTrailSpac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1MzRjZGRjYmU2OGUyMzZjNTlhMTMzYTQ5NTdmY2QifQ=="/>
  </w:docVars>
  <w:rsids>
    <w:rsidRoot w:val="00871F13"/>
    <w:rsid w:val="0000025A"/>
    <w:rsid w:val="003066E0"/>
    <w:rsid w:val="00483DCF"/>
    <w:rsid w:val="005C4F5F"/>
    <w:rsid w:val="006868F8"/>
    <w:rsid w:val="007E0524"/>
    <w:rsid w:val="00871F13"/>
    <w:rsid w:val="00883914"/>
    <w:rsid w:val="009E7D0A"/>
    <w:rsid w:val="00B6765C"/>
    <w:rsid w:val="00DB6C7F"/>
    <w:rsid w:val="00EB50DA"/>
    <w:rsid w:val="00EF636F"/>
    <w:rsid w:val="0151050E"/>
    <w:rsid w:val="0244134B"/>
    <w:rsid w:val="02DA1F3A"/>
    <w:rsid w:val="03483348"/>
    <w:rsid w:val="06285032"/>
    <w:rsid w:val="08C57C66"/>
    <w:rsid w:val="091268D2"/>
    <w:rsid w:val="0C3101B7"/>
    <w:rsid w:val="0C3628D7"/>
    <w:rsid w:val="0C8B0422"/>
    <w:rsid w:val="0D377CC9"/>
    <w:rsid w:val="0EEC0FAC"/>
    <w:rsid w:val="11D65607"/>
    <w:rsid w:val="11E0714B"/>
    <w:rsid w:val="127A293E"/>
    <w:rsid w:val="130967F1"/>
    <w:rsid w:val="13CA362C"/>
    <w:rsid w:val="143A6CDD"/>
    <w:rsid w:val="14E23F2C"/>
    <w:rsid w:val="18474B94"/>
    <w:rsid w:val="18C11795"/>
    <w:rsid w:val="197209BC"/>
    <w:rsid w:val="1A3934BC"/>
    <w:rsid w:val="1E837D5A"/>
    <w:rsid w:val="1F534865"/>
    <w:rsid w:val="201A0ED7"/>
    <w:rsid w:val="2483647E"/>
    <w:rsid w:val="28A10925"/>
    <w:rsid w:val="2ACB6489"/>
    <w:rsid w:val="2D975640"/>
    <w:rsid w:val="31D939CA"/>
    <w:rsid w:val="32152D99"/>
    <w:rsid w:val="336B3102"/>
    <w:rsid w:val="3A9A4FB0"/>
    <w:rsid w:val="3B8C57C0"/>
    <w:rsid w:val="3EA24968"/>
    <w:rsid w:val="3EB72F87"/>
    <w:rsid w:val="409F5F96"/>
    <w:rsid w:val="412B3F0D"/>
    <w:rsid w:val="444B446B"/>
    <w:rsid w:val="462C207A"/>
    <w:rsid w:val="482B381D"/>
    <w:rsid w:val="4CD6638B"/>
    <w:rsid w:val="4FAC0881"/>
    <w:rsid w:val="50F87C86"/>
    <w:rsid w:val="50FE6D40"/>
    <w:rsid w:val="51410445"/>
    <w:rsid w:val="53FB53C7"/>
    <w:rsid w:val="549F3BB6"/>
    <w:rsid w:val="58F32023"/>
    <w:rsid w:val="59B33DE5"/>
    <w:rsid w:val="5B743E4F"/>
    <w:rsid w:val="5C61531C"/>
    <w:rsid w:val="5CE15514"/>
    <w:rsid w:val="5D6705A6"/>
    <w:rsid w:val="60154ADB"/>
    <w:rsid w:val="66447AFF"/>
    <w:rsid w:val="66452A0F"/>
    <w:rsid w:val="67C6317B"/>
    <w:rsid w:val="6838082B"/>
    <w:rsid w:val="68E5013A"/>
    <w:rsid w:val="750560DA"/>
    <w:rsid w:val="76E44A0F"/>
    <w:rsid w:val="7C73785A"/>
    <w:rsid w:val="7D5E6F1A"/>
    <w:rsid w:val="7E0C410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en-US"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9"/>
    <w:qFormat/>
    <w:uiPriority w:val="99"/>
    <w:pPr>
      <w:spacing w:after="0" w:line="420" w:lineRule="exact"/>
      <w:ind w:left="0" w:leftChars="0" w:firstLine="420"/>
    </w:pPr>
    <w:rPr>
      <w:rFonts w:ascii="仿宋_GB2312" w:eastAsia="Times New Roman"/>
      <w:sz w:val="24"/>
    </w:rPr>
  </w:style>
  <w:style w:type="paragraph" w:styleId="3">
    <w:name w:val="Body Text Indent"/>
    <w:basedOn w:val="1"/>
    <w:next w:val="4"/>
    <w:link w:val="8"/>
    <w:qFormat/>
    <w:uiPriority w:val="99"/>
    <w:pPr>
      <w:spacing w:after="120"/>
      <w:ind w:left="420" w:leftChars="200"/>
    </w:pPr>
  </w:style>
  <w:style w:type="paragraph" w:customStyle="1" w:styleId="4">
    <w:name w:val="样式 正文文本缩进 + 宋体 小四 居中 行距: 固定值 23 磅1"/>
    <w:basedOn w:val="1"/>
    <w:qFormat/>
    <w:uiPriority w:val="99"/>
    <w:pPr>
      <w:spacing w:line="460" w:lineRule="exact"/>
      <w:ind w:left="-181" w:leftChars="-86"/>
    </w:pPr>
    <w:rPr>
      <w:rFonts w:ascii="宋体" w:hAnsi="Times New Roman" w:cs="宋体"/>
    </w:rPr>
  </w:style>
  <w:style w:type="paragraph" w:styleId="5">
    <w:name w:val="Body Text"/>
    <w:basedOn w:val="1"/>
    <w:link w:val="10"/>
    <w:semiHidden/>
    <w:qFormat/>
    <w:uiPriority w:val="99"/>
    <w:rPr>
      <w:rFonts w:ascii="仿宋" w:hAnsi="仿宋" w:eastAsia="仿宋" w:cs="仿宋"/>
      <w:sz w:val="31"/>
      <w:szCs w:val="31"/>
    </w:rPr>
  </w:style>
  <w:style w:type="character" w:customStyle="1" w:styleId="8">
    <w:name w:val="Body Text Indent Char"/>
    <w:basedOn w:val="7"/>
    <w:link w:val="3"/>
    <w:semiHidden/>
    <w:qFormat/>
    <w:uiPriority w:val="99"/>
    <w:rPr>
      <w:color w:val="000000"/>
      <w:kern w:val="0"/>
      <w:szCs w:val="21"/>
      <w:lang w:eastAsia="en-US"/>
    </w:rPr>
  </w:style>
  <w:style w:type="character" w:customStyle="1" w:styleId="9">
    <w:name w:val="Body Text First Indent 2 Char"/>
    <w:basedOn w:val="8"/>
    <w:link w:val="2"/>
    <w:semiHidden/>
    <w:qFormat/>
    <w:uiPriority w:val="99"/>
  </w:style>
  <w:style w:type="character" w:customStyle="1" w:styleId="10">
    <w:name w:val="Body Text Char"/>
    <w:basedOn w:val="7"/>
    <w:link w:val="5"/>
    <w:semiHidden/>
    <w:qFormat/>
    <w:uiPriority w:val="99"/>
    <w:rPr>
      <w:color w:val="000000"/>
      <w:kern w:val="0"/>
      <w:szCs w:val="21"/>
      <w:lang w:eastAsia="en-US"/>
    </w:rPr>
  </w:style>
  <w:style w:type="table" w:customStyle="1" w:styleId="11">
    <w:name w:val="Table Normal1"/>
    <w:semiHidden/>
    <w:qFormat/>
    <w:uiPriority w:val="99"/>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3</Pages>
  <Words>1442</Words>
  <Characters>1509</Characters>
  <Lines>0</Lines>
  <Paragraphs>0</Paragraphs>
  <TotalTime>0</TotalTime>
  <ScaleCrop>false</ScaleCrop>
  <LinksUpToDate>false</LinksUpToDate>
  <CharactersWithSpaces>1527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2025-10-29T10:06:00Z</dcterms:created>
  <dc:creator>yjzx1</dc:creator>
  <cp:lastModifiedBy>月见函灯</cp:lastModifiedBy>
  <cp:lastPrinted>2026-03-31T03:07:00Z</cp:lastPrinted>
  <dcterms:modified xsi:type="dcterms:W3CDTF">2026-04-07T01:26:15Z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UsrData">
    <vt:lpwstr>690176976c2928001f0eb7e2wl</vt:lpwstr>
  </property>
  <property fmtid="{D5CDD505-2E9C-101B-9397-08002B2CF9AE}" pid="4" name="KSOTemplateDocerSaveRecord">
    <vt:lpwstr>eyJoZGlkIjoiMDkxNDM5NTI3YTI2MzU0NTA3MzliODM2N2FlYTc2NjYiLCJ1c2VySWQiOiI0MjM3NjMwNzUifQ==</vt:lpwstr>
  </property>
  <property fmtid="{D5CDD505-2E9C-101B-9397-08002B2CF9AE}" pid="5" name="KSOProductBuildVer">
    <vt:lpwstr>2052-12.1.0.25225</vt:lpwstr>
  </property>
  <property fmtid="{D5CDD505-2E9C-101B-9397-08002B2CF9AE}" pid="6" name="ICV">
    <vt:lpwstr>594E77D97971466082A02E50F43956A7_13</vt:lpwstr>
  </property>
</Properties>
</file>