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1D3CF7F">
      <w:pPr>
        <w:keepNext w:val="0"/>
        <w:keepLines w:val="0"/>
        <w:pageBreakBefore w:val="0"/>
        <w:widowControl w:val="0"/>
        <w:suppressLineNumbers w:val="0"/>
        <w:kinsoku/>
        <w:wordWrap w:val="0"/>
        <w:overflowPunct/>
        <w:topLinePunct w:val="0"/>
        <w:autoSpaceDE/>
        <w:autoSpaceDN/>
        <w:bidi w:val="0"/>
        <w:adjustRightInd/>
        <w:snapToGrid w:val="0"/>
        <w:spacing w:before="1400" w:beforeAutospacing="0" w:afterAutospacing="0" w:line="240" w:lineRule="auto"/>
        <w:ind w:left="0" w:leftChars="0" w:right="250" w:rightChars="119" w:firstLine="0" w:firstLineChars="0"/>
        <w:jc w:val="right"/>
        <w:textAlignment w:val="auto"/>
        <w:outlineLvl w:val="9"/>
        <w:rPr>
          <w:rFonts w:hint="eastAsia" w:ascii="仿宋" w:hAnsi="仿宋" w:eastAsia="仿宋" w:cs="仿宋"/>
          <w:kern w:val="2"/>
          <w:sz w:val="32"/>
          <w:szCs w:val="32"/>
          <w:highlight w:val="none"/>
          <w:lang w:val="en-US" w:eastAsia="zh-CN" w:bidi="ar"/>
        </w:rPr>
      </w:pPr>
      <w:r>
        <w:rPr>
          <w:rFonts w:hint="default" w:ascii="仿宋_GB2312" w:hAnsi="宋体" w:eastAsia="仿宋_GB2312" w:cstheme="minorBidi"/>
          <w:kern w:val="2"/>
          <w:sz w:val="32"/>
          <w:szCs w:val="32"/>
          <w:lang w:val="en-US" w:eastAsia="zh-CN" w:bidi="ar"/>
        </w:rPr>
        <w:t>榕环评〔2026〕71号</w:t>
      </w:r>
    </w:p>
    <w:p w14:paraId="541A992A">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eastAsia" w:ascii="方正小标宋_GBK" w:hAnsi="方正小标宋_GBK" w:eastAsia="方正小标宋_GBK" w:cs="方正小标宋_GBK"/>
          <w:b/>
          <w:color w:val="000000"/>
          <w:kern w:val="2"/>
          <w:sz w:val="44"/>
          <w:szCs w:val="44"/>
          <w:lang w:val="en-US" w:eastAsia="zh-CN" w:bidi="ar"/>
        </w:rPr>
      </w:pPr>
    </w:p>
    <w:p w14:paraId="03152C29">
      <w:pPr>
        <w:keepNext w:val="0"/>
        <w:keepLines w:val="0"/>
        <w:widowControl w:val="0"/>
        <w:suppressLineNumbers w:val="0"/>
        <w:snapToGrid w:val="0"/>
        <w:spacing w:before="0" w:beforeAutospacing="0" w:after="0" w:afterAutospacing="0" w:line="240" w:lineRule="auto"/>
        <w:ind w:left="0" w:right="0"/>
        <w:jc w:val="center"/>
        <w:rPr>
          <w:rFonts w:hint="eastAsia" w:ascii="方正小标宋_GBK" w:hAnsi="方正小标宋_GBK" w:eastAsia="方正小标宋_GBK" w:cs="方正小标宋_GBK"/>
          <w:b/>
          <w:color w:val="000000"/>
          <w:kern w:val="2"/>
          <w:sz w:val="44"/>
          <w:szCs w:val="44"/>
          <w:lang w:val="en-US" w:eastAsia="zh-CN" w:bidi="ar"/>
        </w:rPr>
      </w:pPr>
      <w:r>
        <w:rPr>
          <w:rFonts w:hint="eastAsia" w:ascii="方正小标宋_GBK" w:hAnsi="方正小标宋_GBK" w:eastAsia="方正小标宋_GBK" w:cs="方正小标宋_GBK"/>
          <w:b/>
          <w:color w:val="000000"/>
          <w:kern w:val="2"/>
          <w:sz w:val="44"/>
          <w:szCs w:val="44"/>
          <w:lang w:val="en-US" w:eastAsia="zh-CN" w:bidi="ar"/>
        </w:rPr>
        <w:t>福州市生态环境局关于永正检验检测中心系统化与智能化提升改造项目(重大变动）生态环境影响报告表的审批意见</w:t>
      </w:r>
    </w:p>
    <w:p w14:paraId="347F85E0">
      <w:pPr>
        <w:keepNext w:val="0"/>
        <w:keepLines w:val="0"/>
        <w:widowControl w:val="0"/>
        <w:suppressLineNumbers w:val="0"/>
        <w:snapToGrid w:val="0"/>
        <w:spacing w:before="0" w:beforeAutospacing="0" w:after="0" w:afterAutospacing="0" w:line="240" w:lineRule="auto"/>
        <w:ind w:left="0" w:right="0"/>
        <w:jc w:val="center"/>
        <w:rPr>
          <w:rFonts w:hint="eastAsia" w:ascii="方正小标宋_GBK" w:hAnsi="方正小标宋_GBK" w:eastAsia="方正小标宋_GBK" w:cs="方正小标宋_GBK"/>
          <w:b/>
          <w:color w:val="000000"/>
          <w:kern w:val="2"/>
          <w:sz w:val="44"/>
          <w:szCs w:val="44"/>
          <w:lang w:val="en-US" w:eastAsia="zh-CN" w:bidi="ar"/>
        </w:rPr>
      </w:pPr>
    </w:p>
    <w:p w14:paraId="56B92F91">
      <w:pPr>
        <w:keepNext w:val="0"/>
        <w:keepLines w:val="0"/>
        <w:widowControl w:val="0"/>
        <w:suppressLineNumbers w:val="0"/>
        <w:snapToGrid w:val="0"/>
        <w:spacing w:before="0" w:beforeAutospacing="0" w:after="0" w:afterAutospacing="0" w:line="560" w:lineRule="exact"/>
        <w:ind w:left="0" w:right="0"/>
        <w:jc w:val="both"/>
        <w:rPr>
          <w:rFonts w:hint="eastAsia" w:ascii="仿宋_GB2312" w:eastAsia="仿宋_GB2312" w:cs="仿宋_GB2312"/>
          <w:sz w:val="32"/>
          <w:szCs w:val="32"/>
          <w:highlight w:val="none"/>
          <w:lang w:val="en-US"/>
        </w:rPr>
      </w:pPr>
      <w:r>
        <w:rPr>
          <w:rFonts w:hint="eastAsia" w:ascii="仿宋_GB2312" w:hAnsi="Times New Roman" w:eastAsia="仿宋_GB2312" w:cs="仿宋_GB2312"/>
          <w:kern w:val="2"/>
          <w:sz w:val="32"/>
          <w:szCs w:val="32"/>
          <w:highlight w:val="none"/>
          <w:lang w:val="en-US" w:eastAsia="zh-CN" w:bidi="ar"/>
        </w:rPr>
        <w:t>福建省永正工程质量检测有限公司：</w:t>
      </w:r>
    </w:p>
    <w:p w14:paraId="581E06B8">
      <w:pPr>
        <w:keepNext w:val="0"/>
        <w:keepLines w:val="0"/>
        <w:widowControl w:val="0"/>
        <w:suppressLineNumbers w:val="0"/>
        <w:snapToGrid w:val="0"/>
        <w:spacing w:before="0" w:beforeAutospacing="0" w:after="0" w:afterAutospacing="0" w:line="560" w:lineRule="exact"/>
        <w:ind w:left="0" w:right="0" w:firstLine="624" w:firstLineChars="195"/>
        <w:jc w:val="both"/>
        <w:rPr>
          <w:rFonts w:hint="eastAsia" w:ascii="仿宋_GB2312" w:hAnsi="Times New Roman" w:eastAsia="仿宋_GB2312" w:cs="仿宋_GB2312"/>
          <w:kern w:val="2"/>
          <w:sz w:val="32"/>
          <w:szCs w:val="32"/>
          <w:highlight w:val="none"/>
          <w:lang w:val="en-US" w:eastAsia="zh-CN" w:bidi="ar"/>
        </w:rPr>
      </w:pPr>
      <w:r>
        <w:rPr>
          <w:rFonts w:hint="eastAsia" w:ascii="仿宋_GB2312" w:hAnsi="Times New Roman" w:eastAsia="仿宋_GB2312" w:cs="仿宋_GB2312"/>
          <w:kern w:val="2"/>
          <w:sz w:val="32"/>
          <w:szCs w:val="32"/>
          <w:highlight w:val="none"/>
          <w:lang w:val="en-US" w:eastAsia="zh-CN" w:bidi="ar"/>
        </w:rPr>
        <w:t>你司报送的《永正检验检测中心系统化与智能化提升改造项目（重大变动）生态环境影响报告表》(以下简称《报告表》)收悉，经征求福州市晋安生态环境局、福州市闽侯生态环境局意见，现提出审批意见如下：</w:t>
      </w:r>
    </w:p>
    <w:p w14:paraId="712A0333">
      <w:pPr>
        <w:keepNext w:val="0"/>
        <w:keepLines w:val="0"/>
        <w:widowControl w:val="0"/>
        <w:numPr>
          <w:ilvl w:val="0"/>
          <w:numId w:val="1"/>
        </w:numPr>
        <w:suppressLineNumbers w:val="0"/>
        <w:snapToGrid w:val="0"/>
        <w:spacing w:before="0" w:beforeAutospacing="0" w:after="0" w:afterAutospacing="0" w:line="560" w:lineRule="exact"/>
        <w:ind w:left="0" w:leftChars="0" w:right="0" w:rightChars="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永正检验检测中心系统化与智能化提升改造项目（重大变动）位于福州市闽侯县青口镇辅前路10号福建泰维克汽车配件公司和福州市晋安区鼓山镇福光路333号永正大厦租赁范围内，建设内容：利用现有场地，采购全自动钢筋拉力试验机、大型桥梁健康监测系统、ZOYON-RTM智能道路检测等相关设备,建设工程材料智能化检测实验室、城市更新与安全检测实验室、工业制造检测实验室及数字信息中心四大智能化功能实验室及中心。根据《报告表》评价结论，该项目建设符合生态环境保护相关法律法规和政策，符合生态环境分区管控要求，在严格落实《报告表》提出的各项生态环境保护和环境风险防控措施，加强环境管理的前提下，从环境影响角度分析，项目建设可行。我局原则同意《报告表》中所列建设项目的性质、规模、地点、工艺和拟采取的环境保护对策措施。</w:t>
      </w:r>
    </w:p>
    <w:p w14:paraId="415891ED">
      <w:pPr>
        <w:keepNext w:val="0"/>
        <w:keepLines w:val="0"/>
        <w:widowControl w:val="0"/>
        <w:numPr>
          <w:ilvl w:val="0"/>
          <w:numId w:val="1"/>
        </w:numPr>
        <w:suppressLineNumbers w:val="0"/>
        <w:snapToGrid w:val="0"/>
        <w:spacing w:before="0" w:beforeAutospacing="0" w:after="0" w:afterAutospacing="0" w:line="560" w:lineRule="exact"/>
        <w:ind w:left="0" w:leftChars="0" w:right="0" w:rightChars="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项目在施工和运营中应认真落实《报告表》提出的各项环境保护措施，并重点做好以下工作：</w:t>
      </w:r>
    </w:p>
    <w:p w14:paraId="513FB7B4">
      <w:pPr>
        <w:keepNext w:val="0"/>
        <w:keepLines w:val="0"/>
        <w:pageBreakBefore w:val="0"/>
        <w:widowControl w:val="0"/>
        <w:numPr>
          <w:ilvl w:val="-1"/>
          <w:numId w:val="0"/>
        </w:numPr>
        <w:suppressLineNumbers w:val="0"/>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Times New Roman" w:eastAsia="仿宋_GB2312" w:cs="宋体"/>
          <w:kern w:val="0"/>
          <w:sz w:val="32"/>
          <w:szCs w:val="32"/>
          <w:highlight w:val="yellow"/>
          <w:lang w:val="en-US" w:eastAsia="zh-CN" w:bidi="ar"/>
        </w:rPr>
      </w:pPr>
      <w:r>
        <w:rPr>
          <w:rFonts w:hint="eastAsia" w:ascii="仿宋_GB2312" w:hAnsi="Times New Roman" w:eastAsia="仿宋_GB2312" w:cs="宋体"/>
          <w:kern w:val="0"/>
          <w:sz w:val="32"/>
          <w:szCs w:val="32"/>
          <w:highlight w:val="none"/>
          <w:lang w:val="en-US" w:eastAsia="zh-CN" w:bidi="ar"/>
        </w:rPr>
        <w:t>（一）大气污染防治。严格落实各项废气污染治理措施，加强废气源头管控和全过程收集处理，确保各类生产废气有效收集处理后达标排放。</w:t>
      </w:r>
      <w:r>
        <w:rPr>
          <w:rFonts w:hint="eastAsia" w:ascii="仿宋_GB2312" w:hAnsi="Times New Roman" w:eastAsia="仿宋_GB2312" w:cs="宋体"/>
          <w:kern w:val="0"/>
          <w:sz w:val="32"/>
          <w:szCs w:val="32"/>
          <w:highlight w:val="none"/>
          <w:lang w:eastAsia="zh-CN" w:bidi="ar"/>
        </w:rPr>
        <w:t>非甲烷总烃、沥青烟、氯化氢、硫酸雾有组织排放</w:t>
      </w:r>
      <w:r>
        <w:rPr>
          <w:rFonts w:hint="eastAsia" w:ascii="仿宋_GB2312" w:hAnsi="Times New Roman" w:eastAsia="仿宋_GB2312" w:cs="宋体"/>
          <w:kern w:val="0"/>
          <w:sz w:val="32"/>
          <w:szCs w:val="32"/>
          <w:highlight w:val="none"/>
          <w:lang w:bidi="ar"/>
        </w:rPr>
        <w:t>执行《大气污染物综合排放标准》（GB16297-1996）中表2二级标准限值</w:t>
      </w:r>
      <w:r>
        <w:rPr>
          <w:rFonts w:hint="eastAsia" w:ascii="仿宋_GB2312" w:hAnsi="Times New Roman" w:eastAsia="仿宋_GB2312" w:cs="宋体"/>
          <w:kern w:val="0"/>
          <w:sz w:val="32"/>
          <w:szCs w:val="32"/>
          <w:highlight w:val="none"/>
          <w:lang w:eastAsia="zh-CN" w:bidi="ar"/>
        </w:rPr>
        <w:t>；厂界内非甲烷总烃执行</w:t>
      </w:r>
      <w:r>
        <w:rPr>
          <w:rFonts w:hint="eastAsia" w:ascii="仿宋_GB2312" w:hAnsi="Times New Roman" w:eastAsia="仿宋_GB2312" w:cs="宋体"/>
          <w:kern w:val="0"/>
          <w:sz w:val="32"/>
          <w:szCs w:val="32"/>
          <w:highlight w:val="none"/>
          <w:lang w:bidi="ar"/>
        </w:rPr>
        <w:t>《挥发性有机物无组织排放控制标准》（GB37822-2019）表A.1</w:t>
      </w:r>
      <w:r>
        <w:rPr>
          <w:rFonts w:hint="eastAsia" w:ascii="仿宋_GB2312" w:hAnsi="Times New Roman" w:eastAsia="仿宋_GB2312" w:cs="宋体"/>
          <w:kern w:val="0"/>
          <w:sz w:val="32"/>
          <w:szCs w:val="32"/>
          <w:highlight w:val="none"/>
          <w:lang w:val="en-US" w:eastAsia="zh-CN" w:bidi="ar"/>
        </w:rPr>
        <w:t>中的</w:t>
      </w:r>
      <w:r>
        <w:rPr>
          <w:rFonts w:hint="eastAsia" w:ascii="仿宋_GB2312" w:hAnsi="Times New Roman" w:eastAsia="仿宋_GB2312" w:cs="宋体"/>
          <w:kern w:val="0"/>
          <w:sz w:val="32"/>
          <w:szCs w:val="32"/>
          <w:highlight w:val="none"/>
          <w:lang w:bidi="ar"/>
        </w:rPr>
        <w:t>排放限值</w:t>
      </w:r>
      <w:r>
        <w:rPr>
          <w:rFonts w:hint="eastAsia" w:ascii="仿宋_GB2312" w:hAnsi="Times New Roman" w:eastAsia="仿宋_GB2312" w:cs="宋体"/>
          <w:kern w:val="0"/>
          <w:sz w:val="32"/>
          <w:szCs w:val="32"/>
          <w:highlight w:val="none"/>
          <w:lang w:eastAsia="zh-CN" w:bidi="ar"/>
        </w:rPr>
        <w:t>；</w:t>
      </w:r>
      <w:r>
        <w:rPr>
          <w:rFonts w:hint="eastAsia" w:ascii="仿宋_GB2312" w:hAnsi="Times New Roman" w:eastAsia="仿宋_GB2312" w:cs="宋体"/>
          <w:kern w:val="0"/>
          <w:sz w:val="32"/>
          <w:szCs w:val="32"/>
          <w:highlight w:val="none"/>
          <w:lang w:val="en-US" w:eastAsia="zh-CN" w:bidi="ar"/>
        </w:rPr>
        <w:t>臭气浓度</w:t>
      </w:r>
      <w:r>
        <w:rPr>
          <w:rFonts w:hint="eastAsia" w:ascii="仿宋_GB2312" w:hAnsi="Times New Roman" w:eastAsia="仿宋_GB2312" w:cs="宋体"/>
          <w:spacing w:val="0"/>
          <w:kern w:val="0"/>
          <w:sz w:val="32"/>
          <w:szCs w:val="32"/>
          <w:highlight w:val="none"/>
          <w:lang w:val="en-US" w:eastAsia="zh-CN" w:bidi="ar"/>
        </w:rPr>
        <w:t>执行</w:t>
      </w:r>
      <w:r>
        <w:rPr>
          <w:rFonts w:hint="eastAsia" w:ascii="仿宋_GB2312" w:hAnsi="Times New Roman" w:eastAsia="仿宋_GB2312" w:cs="宋体"/>
          <w:spacing w:val="0"/>
          <w:kern w:val="0"/>
          <w:sz w:val="32"/>
          <w:szCs w:val="32"/>
          <w:highlight w:val="none"/>
          <w:lang w:bidi="ar"/>
        </w:rPr>
        <w:t>《恶臭污染物排放标准》（</w:t>
      </w:r>
      <w:r>
        <w:rPr>
          <w:rFonts w:hint="eastAsia" w:ascii="仿宋_GB2312" w:hAnsi="Times New Roman" w:eastAsia="仿宋_GB2312" w:cs="宋体"/>
          <w:kern w:val="0"/>
          <w:sz w:val="32"/>
          <w:szCs w:val="32"/>
          <w:highlight w:val="none"/>
          <w:lang w:bidi="ar"/>
        </w:rPr>
        <w:t>GB</w:t>
      </w:r>
      <w:r>
        <w:rPr>
          <w:rFonts w:hint="eastAsia" w:ascii="仿宋_GB2312" w:hAnsi="Times New Roman" w:eastAsia="仿宋_GB2312" w:cs="宋体"/>
          <w:spacing w:val="0"/>
          <w:kern w:val="0"/>
          <w:sz w:val="32"/>
          <w:szCs w:val="32"/>
          <w:highlight w:val="none"/>
          <w:lang w:bidi="ar"/>
        </w:rPr>
        <w:t>14554-93）表</w:t>
      </w:r>
      <w:r>
        <w:rPr>
          <w:rFonts w:hint="eastAsia" w:ascii="仿宋_GB2312" w:hAnsi="Times New Roman" w:eastAsia="仿宋_GB2312" w:cs="宋体"/>
          <w:spacing w:val="0"/>
          <w:kern w:val="0"/>
          <w:sz w:val="32"/>
          <w:szCs w:val="32"/>
          <w:highlight w:val="none"/>
          <w:lang w:val="en-US" w:eastAsia="zh-CN" w:bidi="ar"/>
        </w:rPr>
        <w:t>2</w:t>
      </w:r>
      <w:r>
        <w:rPr>
          <w:rFonts w:hint="eastAsia" w:ascii="仿宋_GB2312" w:hAnsi="Times New Roman" w:eastAsia="仿宋_GB2312" w:cs="宋体"/>
          <w:spacing w:val="0"/>
          <w:kern w:val="0"/>
          <w:sz w:val="32"/>
          <w:szCs w:val="32"/>
          <w:highlight w:val="none"/>
          <w:lang w:bidi="ar"/>
        </w:rPr>
        <w:t>标准</w:t>
      </w:r>
      <w:r>
        <w:rPr>
          <w:rFonts w:hint="eastAsia" w:ascii="仿宋_GB2312" w:hAnsi="Times New Roman" w:eastAsia="仿宋_GB2312" w:cs="宋体"/>
          <w:kern w:val="0"/>
          <w:sz w:val="32"/>
          <w:szCs w:val="32"/>
          <w:highlight w:val="none"/>
          <w:lang w:eastAsia="zh-CN" w:bidi="ar"/>
        </w:rPr>
        <w:t>。</w:t>
      </w:r>
    </w:p>
    <w:p w14:paraId="39D07F47">
      <w:pPr>
        <w:keepNext w:val="0"/>
        <w:keepLines w:val="0"/>
        <w:pageBreakBefore w:val="0"/>
        <w:widowControl w:val="0"/>
        <w:numPr>
          <w:ilvl w:val="-1"/>
          <w:numId w:val="0"/>
        </w:numPr>
        <w:suppressLineNumbers w:val="0"/>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Times New Roman" w:eastAsia="仿宋_GB2312" w:cs="宋体"/>
          <w:kern w:val="0"/>
          <w:sz w:val="32"/>
          <w:szCs w:val="32"/>
          <w:highlight w:val="yellow"/>
          <w:lang w:val="en-US" w:eastAsia="zh-CN" w:bidi="ar"/>
        </w:rPr>
      </w:pPr>
      <w:r>
        <w:rPr>
          <w:rFonts w:hint="eastAsia" w:ascii="仿宋_GB2312" w:hAnsi="Times New Roman" w:eastAsia="仿宋_GB2312" w:cs="宋体"/>
          <w:b w:val="0"/>
          <w:bCs w:val="0"/>
          <w:kern w:val="0"/>
          <w:sz w:val="32"/>
          <w:szCs w:val="32"/>
          <w:highlight w:val="none"/>
          <w:lang w:val="en-US" w:eastAsia="zh-CN" w:bidi="ar"/>
        </w:rPr>
        <w:t>晋安厂区</w:t>
      </w:r>
      <w:r>
        <w:rPr>
          <w:rFonts w:hint="eastAsia" w:ascii="仿宋_GB2312" w:hAnsi="Times New Roman" w:eastAsia="仿宋_GB2312" w:cs="宋体"/>
          <w:kern w:val="0"/>
          <w:sz w:val="32"/>
          <w:szCs w:val="32"/>
          <w:highlight w:val="none"/>
          <w:lang w:bidi="ar"/>
        </w:rPr>
        <w:t>厂界非甲烷总烃、颗粒物、氯化氢、硫酸雾</w:t>
      </w:r>
      <w:r>
        <w:rPr>
          <w:rFonts w:hint="eastAsia" w:ascii="仿宋_GB2312" w:hAnsi="Times New Roman" w:eastAsia="仿宋_GB2312" w:cs="宋体"/>
          <w:kern w:val="0"/>
          <w:sz w:val="32"/>
          <w:szCs w:val="32"/>
          <w:highlight w:val="none"/>
          <w:lang w:eastAsia="zh-CN" w:bidi="ar"/>
        </w:rPr>
        <w:t>、</w:t>
      </w:r>
      <w:r>
        <w:rPr>
          <w:rFonts w:hint="eastAsia" w:ascii="仿宋_GB2312" w:hAnsi="Times New Roman" w:eastAsia="仿宋_GB2312" w:cs="宋体"/>
          <w:kern w:val="0"/>
          <w:sz w:val="32"/>
          <w:szCs w:val="32"/>
          <w:highlight w:val="none"/>
          <w:lang w:val="en-US" w:eastAsia="zh-CN" w:bidi="ar"/>
        </w:rPr>
        <w:t>沥青烟</w:t>
      </w:r>
      <w:r>
        <w:rPr>
          <w:rFonts w:hint="eastAsia" w:ascii="仿宋_GB2312" w:hAnsi="Times New Roman" w:eastAsia="仿宋_GB2312" w:cs="宋体"/>
          <w:kern w:val="0"/>
          <w:sz w:val="32"/>
          <w:szCs w:val="32"/>
          <w:highlight w:val="none"/>
          <w:lang w:bidi="ar"/>
        </w:rPr>
        <w:t>执行《大气污染物综合排放标准》（GB16297-1996）表2中的无组织排放监控浓度限值</w:t>
      </w:r>
      <w:r>
        <w:rPr>
          <w:rFonts w:hint="eastAsia" w:ascii="仿宋_GB2312" w:hAnsi="Times New Roman" w:eastAsia="仿宋_GB2312" w:cs="宋体"/>
          <w:kern w:val="0"/>
          <w:sz w:val="32"/>
          <w:szCs w:val="32"/>
          <w:highlight w:val="none"/>
          <w:lang w:val="en-US" w:eastAsia="zh-CN" w:bidi="ar"/>
        </w:rPr>
        <w:t>。</w:t>
      </w:r>
    </w:p>
    <w:p w14:paraId="7FEA2847">
      <w:pPr>
        <w:keepNext w:val="0"/>
        <w:keepLines w:val="0"/>
        <w:pageBreakBefore w:val="0"/>
        <w:widowControl w:val="0"/>
        <w:numPr>
          <w:ilvl w:val="-1"/>
          <w:numId w:val="0"/>
        </w:numPr>
        <w:suppressLineNumbers w:val="0"/>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Times New Roman" w:eastAsia="仿宋_GB2312" w:cs="宋体"/>
          <w:kern w:val="0"/>
          <w:sz w:val="32"/>
          <w:szCs w:val="32"/>
          <w:highlight w:val="yellow"/>
          <w:lang w:val="en-US" w:eastAsia="zh-CN" w:bidi="ar"/>
        </w:rPr>
      </w:pPr>
      <w:r>
        <w:rPr>
          <w:rFonts w:hint="eastAsia" w:ascii="仿宋_GB2312" w:hAnsi="Times New Roman" w:eastAsia="仿宋_GB2312" w:cs="宋体"/>
          <w:b w:val="0"/>
          <w:bCs w:val="0"/>
          <w:kern w:val="0"/>
          <w:sz w:val="32"/>
          <w:szCs w:val="32"/>
          <w:highlight w:val="none"/>
          <w:lang w:val="en-US" w:eastAsia="zh-CN" w:bidi="ar"/>
        </w:rPr>
        <w:t>闽侯厂区燃烧废气</w:t>
      </w:r>
      <w:r>
        <w:rPr>
          <w:rFonts w:hint="eastAsia" w:ascii="仿宋_GB2312" w:hAnsi="Times New Roman" w:eastAsia="仿宋_GB2312" w:cs="宋体"/>
          <w:kern w:val="0"/>
          <w:sz w:val="32"/>
          <w:szCs w:val="32"/>
          <w:highlight w:val="none"/>
          <w:lang w:val="en-US" w:eastAsia="zh-CN" w:bidi="ar"/>
        </w:rPr>
        <w:t>二氧化硫</w:t>
      </w:r>
      <w:r>
        <w:rPr>
          <w:rFonts w:hint="eastAsia" w:ascii="仿宋_GB2312" w:hAnsi="Times New Roman" w:eastAsia="仿宋_GB2312" w:cs="宋体"/>
          <w:kern w:val="0"/>
          <w:sz w:val="32"/>
          <w:szCs w:val="32"/>
          <w:highlight w:val="none"/>
          <w:lang w:eastAsia="zh-CN" w:bidi="ar"/>
        </w:rPr>
        <w:t>、</w:t>
      </w:r>
      <w:r>
        <w:rPr>
          <w:rFonts w:hint="eastAsia" w:ascii="仿宋_GB2312" w:hAnsi="Times New Roman" w:eastAsia="仿宋_GB2312" w:cs="宋体"/>
          <w:kern w:val="0"/>
          <w:sz w:val="32"/>
          <w:szCs w:val="32"/>
          <w:highlight w:val="none"/>
          <w:lang w:val="en-US" w:eastAsia="zh-CN" w:bidi="ar"/>
        </w:rPr>
        <w:t>氮氧化物</w:t>
      </w:r>
      <w:r>
        <w:rPr>
          <w:rFonts w:hint="eastAsia" w:ascii="仿宋_GB2312" w:hAnsi="Times New Roman" w:eastAsia="仿宋_GB2312" w:cs="宋体"/>
          <w:kern w:val="0"/>
          <w:sz w:val="32"/>
          <w:szCs w:val="32"/>
          <w:highlight w:val="none"/>
          <w:lang w:eastAsia="zh-CN" w:bidi="ar"/>
        </w:rPr>
        <w:t>、颗粒物、非甲烷总烃</w:t>
      </w:r>
      <w:r>
        <w:rPr>
          <w:rFonts w:hint="eastAsia" w:ascii="仿宋_GB2312" w:hAnsi="Times New Roman" w:eastAsia="仿宋_GB2312" w:cs="宋体"/>
          <w:kern w:val="0"/>
          <w:sz w:val="32"/>
          <w:szCs w:val="32"/>
          <w:highlight w:val="none"/>
          <w:lang w:bidi="ar"/>
        </w:rPr>
        <w:t>执行《大气污染物综合排放标准》（GB16297-1996）中表2二级标准限值</w:t>
      </w:r>
      <w:r>
        <w:rPr>
          <w:rFonts w:hint="eastAsia" w:ascii="仿宋_GB2312" w:hAnsi="Times New Roman" w:eastAsia="仿宋_GB2312" w:cs="宋体"/>
          <w:kern w:val="0"/>
          <w:sz w:val="32"/>
          <w:szCs w:val="32"/>
          <w:highlight w:val="none"/>
          <w:lang w:eastAsia="zh-CN" w:bidi="ar"/>
        </w:rPr>
        <w:t>；厂界</w:t>
      </w:r>
      <w:r>
        <w:rPr>
          <w:rFonts w:hint="eastAsia" w:ascii="仿宋_GB2312" w:hAnsi="Times New Roman" w:eastAsia="仿宋_GB2312" w:cs="宋体"/>
          <w:color w:val="auto"/>
          <w:kern w:val="0"/>
          <w:sz w:val="32"/>
          <w:szCs w:val="32"/>
          <w:highlight w:val="none"/>
          <w:lang w:bidi="ar"/>
        </w:rPr>
        <w:t>非甲烷总烃、颗粒物、氯化氢、硫酸雾</w:t>
      </w:r>
      <w:r>
        <w:rPr>
          <w:rFonts w:hint="eastAsia" w:ascii="仿宋_GB2312" w:hAnsi="Times New Roman" w:eastAsia="仿宋_GB2312" w:cs="宋体"/>
          <w:color w:val="auto"/>
          <w:kern w:val="0"/>
          <w:sz w:val="32"/>
          <w:szCs w:val="32"/>
          <w:highlight w:val="none"/>
          <w:lang w:eastAsia="zh-CN" w:bidi="ar"/>
        </w:rPr>
        <w:t>、</w:t>
      </w:r>
      <w:r>
        <w:rPr>
          <w:rFonts w:hint="eastAsia" w:ascii="仿宋_GB2312" w:hAnsi="Times New Roman" w:eastAsia="仿宋_GB2312" w:cs="宋体"/>
          <w:color w:val="auto"/>
          <w:kern w:val="0"/>
          <w:sz w:val="32"/>
          <w:szCs w:val="32"/>
          <w:highlight w:val="none"/>
          <w:lang w:val="en-US" w:eastAsia="zh-CN" w:bidi="ar"/>
        </w:rPr>
        <w:t>沥青烟、</w:t>
      </w:r>
      <w:r>
        <w:rPr>
          <w:rFonts w:hint="eastAsia" w:ascii="仿宋_GB2312" w:hAnsi="Times New Roman" w:eastAsia="仿宋_GB2312" w:cs="宋体"/>
          <w:bCs w:val="0"/>
          <w:color w:val="auto"/>
          <w:kern w:val="0"/>
          <w:sz w:val="32"/>
          <w:szCs w:val="32"/>
          <w:highlight w:val="none"/>
          <w:lang w:bidi="ar"/>
        </w:rPr>
        <w:t>二氧化硫、氮氧化物</w:t>
      </w:r>
      <w:r>
        <w:rPr>
          <w:rFonts w:hint="eastAsia" w:ascii="仿宋_GB2312" w:hAnsi="Times New Roman" w:eastAsia="仿宋_GB2312" w:cs="宋体"/>
          <w:bCs w:val="0"/>
          <w:color w:val="auto"/>
          <w:kern w:val="0"/>
          <w:sz w:val="32"/>
          <w:szCs w:val="32"/>
          <w:highlight w:val="none"/>
          <w:lang w:eastAsia="zh-CN" w:bidi="ar"/>
        </w:rPr>
        <w:t>执行</w:t>
      </w:r>
      <w:r>
        <w:rPr>
          <w:rFonts w:hint="eastAsia" w:ascii="仿宋_GB2312" w:hAnsi="Times New Roman" w:eastAsia="仿宋_GB2312" w:cs="宋体"/>
          <w:kern w:val="0"/>
          <w:sz w:val="32"/>
          <w:szCs w:val="32"/>
          <w:highlight w:val="none"/>
          <w:lang w:bidi="ar"/>
        </w:rPr>
        <w:t>《大气污染物综合排放标准》（GB16297-1996）表2中的无组织排放监控浓度限值</w:t>
      </w:r>
      <w:r>
        <w:rPr>
          <w:rFonts w:hint="eastAsia" w:ascii="仿宋_GB2312" w:hAnsi="Times New Roman" w:eastAsia="仿宋_GB2312" w:cs="宋体"/>
          <w:kern w:val="0"/>
          <w:sz w:val="32"/>
          <w:szCs w:val="32"/>
          <w:highlight w:val="none"/>
          <w:lang w:eastAsia="zh-CN" w:bidi="ar"/>
        </w:rPr>
        <w:t>。</w:t>
      </w:r>
    </w:p>
    <w:p w14:paraId="69B76D8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（二）水污染防治。生产废水经酸碱中和及沉淀后与生活污水一并经化粪池处理达到《污水综合排放标准》（GB8978-1996）分别排放洋里污水处理厂、</w:t>
      </w:r>
      <w:r>
        <w:rPr>
          <w:rFonts w:hint="eastAsia" w:ascii="仿宋_GB2312" w:hAnsi="Times New Roman" w:eastAsia="仿宋_GB2312" w:cs="宋体"/>
          <w:color w:val="auto"/>
          <w:kern w:val="0"/>
          <w:sz w:val="32"/>
          <w:szCs w:val="32"/>
          <w:highlight w:val="none"/>
          <w:lang w:eastAsia="zh-CN" w:bidi="ar"/>
        </w:rPr>
        <w:t>福建青口海峡环保有限公司(青口新区污水处理厂）</w:t>
      </w:r>
      <w:r>
        <w:rPr>
          <w:rFonts w:hint="eastAsia" w:ascii="仿宋_GB2312" w:hAnsi="Times New Roman" w:eastAsia="仿宋_GB2312" w:cs="宋体"/>
          <w:kern w:val="0"/>
          <w:sz w:val="32"/>
          <w:szCs w:val="32"/>
          <w:highlight w:val="none"/>
          <w:lang w:val="en-US" w:eastAsia="zh-CN" w:bidi="ar"/>
        </w:rPr>
        <w:t>。</w:t>
      </w:r>
    </w:p>
    <w:p w14:paraId="19B4A73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（三）噪声污染防治。项目应选用低噪声设备，对高噪声设备采取减振、隔声、降噪措施，</w:t>
      </w:r>
      <w:r>
        <w:rPr>
          <w:rFonts w:hint="default" w:ascii="仿宋_GB2312" w:hAnsi="Times New Roman" w:eastAsia="仿宋_GB2312" w:cs="宋体"/>
          <w:kern w:val="0"/>
          <w:sz w:val="32"/>
          <w:szCs w:val="32"/>
          <w:highlight w:val="none"/>
          <w:lang w:val="en-US" w:eastAsia="zh-CN" w:bidi="ar"/>
        </w:rPr>
        <w:t>厂界噪声</w:t>
      </w:r>
      <w:r>
        <w:rPr>
          <w:rFonts w:hint="eastAsia" w:ascii="仿宋_GB2312" w:hAnsi="Times New Roman" w:eastAsia="仿宋_GB2312" w:cs="宋体"/>
          <w:kern w:val="0"/>
          <w:sz w:val="32"/>
          <w:szCs w:val="32"/>
          <w:highlight w:val="none"/>
          <w:lang w:val="en-US" w:eastAsia="zh-CN" w:bidi="ar"/>
        </w:rPr>
        <w:t>执行</w:t>
      </w:r>
      <w:r>
        <w:rPr>
          <w:rFonts w:hint="default" w:ascii="仿宋_GB2312" w:hAnsi="Times New Roman" w:eastAsia="仿宋_GB2312" w:cs="宋体"/>
          <w:kern w:val="0"/>
          <w:sz w:val="32"/>
          <w:szCs w:val="32"/>
          <w:highlight w:val="none"/>
          <w:lang w:val="en-US" w:eastAsia="zh-CN" w:bidi="ar"/>
        </w:rPr>
        <w:t>《</w:t>
      </w:r>
      <w:bookmarkStart w:id="0" w:name="OLE_LINK4"/>
      <w:r>
        <w:rPr>
          <w:rFonts w:hint="default" w:ascii="仿宋_GB2312" w:hAnsi="Times New Roman" w:eastAsia="仿宋_GB2312" w:cs="宋体"/>
          <w:kern w:val="0"/>
          <w:sz w:val="32"/>
          <w:szCs w:val="32"/>
          <w:highlight w:val="none"/>
          <w:lang w:val="en-US" w:eastAsia="zh-CN" w:bidi="ar"/>
        </w:rPr>
        <w:t>工业企业厂界环境噪声排放标准</w:t>
      </w:r>
      <w:bookmarkEnd w:id="0"/>
      <w:r>
        <w:rPr>
          <w:rFonts w:hint="default" w:ascii="仿宋_GB2312" w:hAnsi="Times New Roman" w:eastAsia="仿宋_GB2312" w:cs="宋体"/>
          <w:kern w:val="0"/>
          <w:sz w:val="32"/>
          <w:szCs w:val="32"/>
          <w:highlight w:val="none"/>
          <w:lang w:val="en-US" w:eastAsia="zh-CN" w:bidi="ar"/>
        </w:rPr>
        <w:t>》</w:t>
      </w:r>
      <w:r>
        <w:rPr>
          <w:rFonts w:hint="eastAsia" w:ascii="仿宋_GB2312" w:hAnsi="Times New Roman" w:eastAsia="仿宋_GB2312" w:cs="宋体"/>
          <w:kern w:val="0"/>
          <w:sz w:val="32"/>
          <w:szCs w:val="32"/>
          <w:highlight w:val="none"/>
          <w:lang w:val="en-US" w:eastAsia="zh-CN" w:bidi="ar"/>
        </w:rPr>
        <w:t>（</w:t>
      </w:r>
      <w:r>
        <w:rPr>
          <w:rFonts w:hint="default" w:ascii="仿宋_GB2312" w:hAnsi="Times New Roman" w:eastAsia="仿宋_GB2312" w:cs="宋体"/>
          <w:kern w:val="0"/>
          <w:sz w:val="32"/>
          <w:szCs w:val="32"/>
          <w:highlight w:val="none"/>
          <w:lang w:val="en-US" w:eastAsia="zh-CN" w:bidi="ar"/>
        </w:rPr>
        <w:t>GB12348-2008</w:t>
      </w:r>
      <w:r>
        <w:rPr>
          <w:rFonts w:hint="eastAsia" w:ascii="仿宋_GB2312" w:hAnsi="Times New Roman" w:eastAsia="仿宋_GB2312" w:cs="宋体"/>
          <w:kern w:val="0"/>
          <w:sz w:val="32"/>
          <w:szCs w:val="32"/>
          <w:highlight w:val="none"/>
          <w:lang w:val="en-US" w:eastAsia="zh-CN" w:bidi="ar"/>
        </w:rPr>
        <w:t>）</w:t>
      </w:r>
      <w:r>
        <w:rPr>
          <w:rFonts w:hint="default" w:ascii="仿宋_GB2312" w:hAnsi="Times New Roman" w:eastAsia="仿宋_GB2312" w:cs="宋体"/>
          <w:kern w:val="0"/>
          <w:sz w:val="32"/>
          <w:szCs w:val="32"/>
          <w:highlight w:val="none"/>
          <w:lang w:val="en-US" w:eastAsia="zh-CN" w:bidi="ar"/>
        </w:rPr>
        <w:t>中</w:t>
      </w:r>
      <w:r>
        <w:rPr>
          <w:rFonts w:hint="default" w:ascii="仿宋_GB2312" w:hAnsi="Times New Roman" w:eastAsia="仿宋_GB2312" w:cs="宋体"/>
          <w:color w:val="auto"/>
          <w:kern w:val="0"/>
          <w:sz w:val="32"/>
          <w:szCs w:val="32"/>
          <w:highlight w:val="none"/>
          <w:lang w:val="en-US" w:eastAsia="zh-CN" w:bidi="ar"/>
        </w:rPr>
        <w:t>表1</w:t>
      </w:r>
      <w:r>
        <w:rPr>
          <w:rFonts w:hint="eastAsia" w:ascii="仿宋_GB2312" w:hAnsi="Times New Roman" w:eastAsia="仿宋_GB2312" w:cs="宋体"/>
          <w:color w:val="auto"/>
          <w:kern w:val="0"/>
          <w:sz w:val="32"/>
          <w:szCs w:val="32"/>
          <w:highlight w:val="none"/>
          <w:lang w:val="en-US" w:eastAsia="zh-CN" w:bidi="ar"/>
        </w:rPr>
        <w:t>中3</w:t>
      </w:r>
      <w:r>
        <w:rPr>
          <w:rFonts w:hint="default" w:ascii="仿宋_GB2312" w:hAnsi="Times New Roman" w:eastAsia="仿宋_GB2312" w:cs="宋体"/>
          <w:color w:val="auto"/>
          <w:kern w:val="0"/>
          <w:sz w:val="32"/>
          <w:szCs w:val="32"/>
          <w:highlight w:val="none"/>
          <w:lang w:val="en-US" w:eastAsia="zh-CN" w:bidi="ar"/>
        </w:rPr>
        <w:t>类排放限值。</w:t>
      </w:r>
    </w:p>
    <w:p w14:paraId="079C52CF">
      <w:pPr>
        <w:widowControl w:val="0"/>
        <w:numPr>
          <w:ilvl w:val="0"/>
          <w:numId w:val="0"/>
        </w:numPr>
        <w:spacing w:line="560" w:lineRule="exact"/>
        <w:ind w:firstLine="640"/>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四）固体废物污染防治。固体废物应实施分类收集、贮存、处理和处置，并按规范建设固体废物贮存场所及建立固体废物管理台账，加强全过程规范化管理。实验室产生的危险废物应委托有资质单位收集处置。危险废物贮存执行《危险废物贮存污染控制标准》（GB18597-2023）要求，转移管理执行《危险废物转移管理办法》（部令第23号）相关规定。一般工业固体废物应综合利用妥善处置。</w:t>
      </w:r>
    </w:p>
    <w:p w14:paraId="7D3000F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三、项目建成后允许主要污染物</w:t>
      </w:r>
      <w:bookmarkStart w:id="1" w:name="OLE_LINK5"/>
      <w:r>
        <w:rPr>
          <w:rFonts w:hint="eastAsia" w:ascii="仿宋_GB2312" w:hAnsi="Times New Roman" w:eastAsia="仿宋_GB2312" w:cs="宋体"/>
          <w:kern w:val="0"/>
          <w:sz w:val="32"/>
          <w:szCs w:val="32"/>
          <w:highlight w:val="none"/>
          <w:lang w:val="en-US" w:eastAsia="zh-CN" w:bidi="ar"/>
        </w:rPr>
        <w:t>排放总量</w:t>
      </w:r>
      <w:bookmarkEnd w:id="1"/>
      <w:r>
        <w:rPr>
          <w:rFonts w:hint="eastAsia" w:ascii="仿宋_GB2312" w:hAnsi="Times New Roman" w:eastAsia="仿宋_GB2312" w:cs="宋体"/>
          <w:kern w:val="0"/>
          <w:sz w:val="32"/>
          <w:szCs w:val="32"/>
          <w:highlight w:val="none"/>
          <w:lang w:val="en-US" w:eastAsia="zh-CN" w:bidi="ar"/>
        </w:rPr>
        <w:t>控制要求：晋安厂区：VOCs（以非甲烷总烃计）本项目新增≤0.033吨/年，全厂排放总量≤0.075吨/年；闽侯厂区：二氧化硫排放总量≤0.00095吨/年，氮氧化物排放总量≤0.0041吨/年，VOCs（以非甲烷总烃计）排放总量≤0.051吨/年。项目投产前应按照规定取得所需的总量指标。</w:t>
      </w:r>
    </w:p>
    <w:p w14:paraId="5311312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四、《报告表》批准后，如建设项目的性质、规模、地点、采用的生产工艺或者防治污染、防止生态破坏的措施发生重大变动的，应当依法重新报批项目环评。《报告表》自批准之日起满5年，项目方开工建设的，其环评文件应当依法报我局重新审核。</w:t>
      </w:r>
    </w:p>
    <w:p w14:paraId="57337D4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五、项目建设应严格执行环境保护“三同时”制度，投入生产并产生实际排污行为之前，你司应认真梳理并确认各项环境保护措施落实，依法申领排污许可证并按证排污。项目投入生产后，应依法组织开展竣工环保自主验收。</w:t>
      </w:r>
    </w:p>
    <w:p w14:paraId="31C08B1A">
      <w:pPr>
        <w:snapToGrid w:val="0"/>
        <w:spacing w:line="560" w:lineRule="exact"/>
        <w:ind w:firstLine="640" w:firstLineChars="200"/>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六、我局委托福州市生态环境保护综合执法支队开展该项目环保“三同时”监督检查，由福州市晋安生态环境局和福州市闽侯生态环境局负责该项目日常环保监督管理工作。</w:t>
      </w:r>
    </w:p>
    <w:p w14:paraId="3C94E48F">
      <w:pPr>
        <w:snapToGrid w:val="0"/>
        <w:spacing w:line="560" w:lineRule="exact"/>
        <w:ind w:firstLine="640" w:firstLineChars="200"/>
        <w:rPr>
          <w:rFonts w:hint="eastAsia" w:ascii="仿宋_GB2312" w:hAnsi="Times New Roman" w:eastAsia="仿宋_GB2312" w:cs="宋体"/>
          <w:kern w:val="0"/>
          <w:sz w:val="32"/>
          <w:szCs w:val="32"/>
          <w:highlight w:val="none"/>
          <w:lang w:val="en-US" w:eastAsia="zh-CN" w:bidi="ar"/>
        </w:rPr>
      </w:pPr>
    </w:p>
    <w:p w14:paraId="26E8C02E">
      <w:pPr>
        <w:snapToGrid w:val="0"/>
        <w:spacing w:line="560" w:lineRule="exact"/>
        <w:ind w:firstLine="640" w:firstLineChars="200"/>
        <w:rPr>
          <w:rFonts w:hint="eastAsia" w:ascii="仿宋_GB2312" w:hAnsi="Times New Roman" w:eastAsia="仿宋_GB2312" w:cs="宋体"/>
          <w:kern w:val="0"/>
          <w:sz w:val="32"/>
          <w:szCs w:val="32"/>
          <w:highlight w:val="none"/>
          <w:lang w:val="en-US" w:eastAsia="zh-CN" w:bidi="ar"/>
        </w:rPr>
      </w:pPr>
    </w:p>
    <w:p w14:paraId="661254C6">
      <w:pPr>
        <w:pStyle w:val="6"/>
        <w:widowControl/>
        <w:snapToGrid w:val="0"/>
        <w:spacing w:line="560" w:lineRule="exact"/>
        <w:ind w:right="1170" w:rightChars="557"/>
        <w:jc w:val="right"/>
        <w:rPr>
          <w:rFonts w:hint="eastAsia" w:ascii="仿宋_GB2312" w:eastAsia="仿宋_GB2312" w:cs="仿宋_GB2312"/>
          <w:highlight w:val="none"/>
          <w:lang w:val="en-US"/>
        </w:rPr>
      </w:pPr>
      <w:r>
        <w:rPr>
          <w:rFonts w:hint="eastAsia" w:ascii="仿宋_GB2312" w:eastAsia="仿宋_GB2312" w:cs="仿宋_GB2312"/>
          <w:highlight w:val="none"/>
          <w:lang w:eastAsia="zh-CN"/>
        </w:rPr>
        <w:t>福州市生态环境局</w:t>
      </w:r>
    </w:p>
    <w:p w14:paraId="0845E371">
      <w:pPr>
        <w:pStyle w:val="6"/>
        <w:widowControl/>
        <w:snapToGrid w:val="0"/>
        <w:spacing w:line="560" w:lineRule="exact"/>
        <w:ind w:right="1170" w:rightChars="557"/>
        <w:jc w:val="right"/>
        <w:rPr>
          <w:rFonts w:hint="eastAsia" w:ascii="仿宋_GB2312" w:eastAsia="仿宋_GB2312" w:cs="仿宋_GB2312"/>
          <w:highlight w:val="none"/>
          <w:lang w:eastAsia="zh-CN"/>
        </w:rPr>
      </w:pPr>
      <w:r>
        <w:rPr>
          <w:rFonts w:hint="eastAsia" w:ascii="仿宋_GB2312" w:eastAsia="仿宋_GB2312" w:cs="仿宋_GB2312"/>
          <w:highlight w:val="none"/>
          <w:lang w:val="en-US"/>
        </w:rPr>
        <w:t>20</w:t>
      </w:r>
      <w:r>
        <w:rPr>
          <w:rFonts w:hint="eastAsia" w:ascii="仿宋_GB2312" w:eastAsia="仿宋_GB2312" w:cs="仿宋_GB2312"/>
          <w:highlight w:val="none"/>
          <w:lang w:val="en-US" w:eastAsia="zh-CN"/>
        </w:rPr>
        <w:t>26</w:t>
      </w:r>
      <w:r>
        <w:rPr>
          <w:rFonts w:hint="eastAsia" w:ascii="仿宋_GB2312" w:eastAsia="仿宋_GB2312" w:cs="仿宋_GB2312"/>
          <w:highlight w:val="none"/>
          <w:lang w:eastAsia="zh-CN"/>
        </w:rPr>
        <w:t>年</w:t>
      </w:r>
      <w:r>
        <w:rPr>
          <w:rFonts w:hint="eastAsia" w:ascii="仿宋_GB2312" w:eastAsia="仿宋_GB2312" w:cs="仿宋_GB2312"/>
          <w:highlight w:val="none"/>
          <w:lang w:val="en-US" w:eastAsia="zh-CN"/>
        </w:rPr>
        <w:t>10</w:t>
      </w:r>
      <w:r>
        <w:rPr>
          <w:rFonts w:hint="eastAsia" w:ascii="仿宋_GB2312" w:eastAsia="仿宋_GB2312" w:cs="仿宋_GB2312"/>
          <w:highlight w:val="none"/>
          <w:lang w:eastAsia="zh-CN"/>
        </w:rPr>
        <w:t>月</w:t>
      </w:r>
      <w:r>
        <w:rPr>
          <w:rFonts w:hint="eastAsia" w:ascii="仿宋_GB2312" w:eastAsia="仿宋_GB2312" w:cs="仿宋_GB2312"/>
          <w:highlight w:val="none"/>
          <w:lang w:val="en-US" w:eastAsia="zh-CN"/>
        </w:rPr>
        <w:t>9</w:t>
      </w:r>
      <w:r>
        <w:rPr>
          <w:rFonts w:hint="eastAsia" w:ascii="仿宋_GB2312" w:eastAsia="仿宋_GB2312" w:cs="仿宋_GB2312"/>
          <w:highlight w:val="none"/>
          <w:lang w:eastAsia="zh-CN"/>
        </w:rPr>
        <w:t>日</w:t>
      </w:r>
      <w:bookmarkStart w:id="2" w:name="_GoBack"/>
      <w:bookmarkEnd w:id="2"/>
    </w:p>
    <w:p w14:paraId="22869FA3">
      <w:pPr>
        <w:rPr>
          <w:rFonts w:hint="eastAsia" w:ascii="仿宋_GB2312" w:eastAsia="仿宋_GB2312" w:cs="仿宋_GB2312"/>
          <w:highlight w:val="none"/>
          <w:lang w:eastAsia="zh-CN"/>
        </w:rPr>
      </w:pPr>
    </w:p>
    <w:p w14:paraId="09EEE4C5">
      <w:pPr>
        <w:rPr>
          <w:rFonts w:hint="eastAsia" w:ascii="仿宋_GB2312" w:eastAsia="仿宋_GB2312" w:cs="仿宋_GB2312"/>
          <w:highlight w:val="none"/>
          <w:lang w:eastAsia="zh-CN"/>
        </w:rPr>
      </w:pPr>
    </w:p>
    <w:p w14:paraId="2A9C95DA">
      <w:pPr>
        <w:rPr>
          <w:rFonts w:hint="eastAsia" w:ascii="仿宋_GB2312" w:eastAsia="仿宋_GB2312" w:cs="仿宋_GB2312"/>
          <w:highlight w:val="none"/>
          <w:lang w:eastAsia="zh-CN"/>
        </w:rPr>
      </w:pPr>
    </w:p>
    <w:p w14:paraId="212A3DCF">
      <w:pPr>
        <w:rPr>
          <w:rFonts w:hint="eastAsia" w:ascii="仿宋_GB2312" w:eastAsia="仿宋_GB2312" w:cs="仿宋_GB2312"/>
          <w:highlight w:val="none"/>
          <w:lang w:eastAsia="zh-CN"/>
        </w:rPr>
      </w:pPr>
    </w:p>
    <w:p w14:paraId="54A0ABCD">
      <w:pPr>
        <w:rPr>
          <w:rFonts w:hint="eastAsia" w:ascii="仿宋_GB2312" w:eastAsia="仿宋_GB2312" w:cs="仿宋_GB2312"/>
          <w:highlight w:val="none"/>
          <w:lang w:eastAsia="zh-CN"/>
        </w:rPr>
      </w:pPr>
    </w:p>
    <w:p w14:paraId="3CF9F95A">
      <w:pPr>
        <w:rPr>
          <w:rFonts w:hint="eastAsia" w:ascii="仿宋_GB2312" w:eastAsia="仿宋_GB2312" w:cs="仿宋_GB2312"/>
          <w:highlight w:val="none"/>
          <w:lang w:eastAsia="zh-CN"/>
        </w:rPr>
      </w:pPr>
    </w:p>
    <w:p w14:paraId="49C80E90">
      <w:pPr>
        <w:rPr>
          <w:rFonts w:hint="eastAsia" w:ascii="仿宋_GB2312" w:eastAsia="仿宋_GB2312" w:cs="仿宋_GB2312"/>
          <w:highlight w:val="none"/>
          <w:lang w:eastAsia="zh-CN"/>
        </w:rPr>
      </w:pPr>
    </w:p>
    <w:p w14:paraId="7214EBB1">
      <w:pPr>
        <w:rPr>
          <w:rFonts w:hint="eastAsia" w:ascii="仿宋_GB2312" w:eastAsia="仿宋_GB2312" w:cs="仿宋_GB2312"/>
          <w:highlight w:val="none"/>
          <w:lang w:eastAsia="zh-CN"/>
        </w:rPr>
      </w:pPr>
    </w:p>
    <w:p w14:paraId="45DBE86D">
      <w:pPr>
        <w:rPr>
          <w:rFonts w:hint="eastAsia" w:ascii="仿宋_GB2312" w:eastAsia="仿宋_GB2312" w:cs="仿宋_GB2312"/>
          <w:highlight w:val="none"/>
          <w:lang w:eastAsia="zh-CN"/>
        </w:rPr>
      </w:pPr>
    </w:p>
    <w:p w14:paraId="0DC44FF0">
      <w:pPr>
        <w:rPr>
          <w:rFonts w:hint="eastAsia" w:ascii="仿宋_GB2312" w:eastAsia="仿宋_GB2312" w:cs="仿宋_GB2312"/>
          <w:highlight w:val="none"/>
          <w:lang w:eastAsia="zh-CN"/>
        </w:rPr>
      </w:pPr>
    </w:p>
    <w:p w14:paraId="4C920B4A">
      <w:pPr>
        <w:rPr>
          <w:rFonts w:hint="eastAsia" w:ascii="仿宋_GB2312" w:eastAsia="仿宋_GB2312" w:cs="仿宋_GB2312"/>
          <w:highlight w:val="none"/>
          <w:lang w:eastAsia="zh-CN"/>
        </w:rPr>
      </w:pPr>
    </w:p>
    <w:p w14:paraId="07E3444C">
      <w:pPr>
        <w:rPr>
          <w:rFonts w:hint="eastAsia" w:ascii="仿宋_GB2312" w:eastAsia="仿宋_GB2312" w:cs="仿宋_GB2312"/>
          <w:highlight w:val="none"/>
          <w:lang w:eastAsia="zh-CN"/>
        </w:rPr>
      </w:pPr>
    </w:p>
    <w:p w14:paraId="4E035187">
      <w:pPr>
        <w:rPr>
          <w:rFonts w:hint="eastAsia" w:ascii="仿宋_GB2312" w:eastAsia="仿宋_GB2312" w:cs="仿宋_GB2312"/>
          <w:highlight w:val="none"/>
          <w:lang w:eastAsia="zh-CN"/>
        </w:rPr>
      </w:pPr>
    </w:p>
    <w:p w14:paraId="19BCA597">
      <w:pPr>
        <w:rPr>
          <w:rFonts w:hint="eastAsia" w:ascii="仿宋_GB2312" w:eastAsia="仿宋_GB2312" w:cs="仿宋_GB2312"/>
          <w:highlight w:val="none"/>
          <w:lang w:eastAsia="zh-CN"/>
        </w:rPr>
      </w:pPr>
    </w:p>
    <w:p w14:paraId="15810E4B">
      <w:pPr>
        <w:rPr>
          <w:rFonts w:hint="eastAsia" w:ascii="仿宋_GB2312" w:eastAsia="仿宋_GB2312" w:cs="仿宋_GB2312"/>
          <w:highlight w:val="none"/>
          <w:lang w:eastAsia="zh-CN"/>
        </w:rPr>
      </w:pPr>
    </w:p>
    <w:p w14:paraId="1816144E">
      <w:pPr>
        <w:rPr>
          <w:rFonts w:hint="eastAsia" w:ascii="仿宋_GB2312" w:eastAsia="仿宋_GB2312" w:cs="仿宋_GB2312"/>
          <w:highlight w:val="none"/>
          <w:lang w:eastAsia="zh-CN"/>
        </w:rPr>
      </w:pPr>
    </w:p>
    <w:p w14:paraId="3F4CBFF7">
      <w:pPr>
        <w:rPr>
          <w:rFonts w:hint="eastAsia" w:ascii="仿宋_GB2312" w:eastAsia="仿宋_GB2312" w:cs="仿宋_GB2312"/>
          <w:highlight w:val="none"/>
          <w:lang w:eastAsia="zh-CN"/>
        </w:rPr>
      </w:pPr>
    </w:p>
    <w:tbl>
      <w:tblPr>
        <w:tblStyle w:val="12"/>
        <w:tblW w:w="87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55"/>
        <w:gridCol w:w="3885"/>
        <w:gridCol w:w="3675"/>
      </w:tblGrid>
      <w:tr w14:paraId="74CA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1155" w:type="dxa"/>
            <w:tcBorders>
              <w:top w:val="single" w:color="auto" w:sz="4" w:space="0"/>
              <w:left w:val="nil"/>
              <w:bottom w:val="single" w:color="auto" w:sz="4" w:space="0"/>
              <w:right w:val="nil"/>
            </w:tcBorders>
            <w:shd w:val="clear" w:color="auto" w:fill="auto"/>
            <w:vAlign w:val="center"/>
          </w:tcPr>
          <w:p w14:paraId="23AF1F29">
            <w:pPr>
              <w:keepNext w:val="0"/>
              <w:keepLines w:val="0"/>
              <w:widowControl w:val="0"/>
              <w:suppressLineNumbers w:val="0"/>
              <w:tabs>
                <w:tab w:val="left" w:pos="3885"/>
              </w:tabs>
              <w:spacing w:before="0" w:beforeAutospacing="0" w:after="0" w:afterAutospacing="0"/>
              <w:ind w:left="0" w:right="0" w:firstLine="179" w:firstLineChars="64"/>
              <w:jc w:val="both"/>
              <w:rPr>
                <w:rFonts w:hint="eastAsia" w:ascii="仿宋_GB2312" w:eastAsia="仿宋_GB2312" w:cs="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抄送：</w:t>
            </w:r>
          </w:p>
        </w:tc>
        <w:tc>
          <w:tcPr>
            <w:tcW w:w="7560" w:type="dxa"/>
            <w:gridSpan w:val="2"/>
            <w:tcBorders>
              <w:top w:val="single" w:color="auto" w:sz="4" w:space="0"/>
              <w:left w:val="nil"/>
              <w:bottom w:val="single" w:color="auto" w:sz="4" w:space="0"/>
              <w:right w:val="nil"/>
            </w:tcBorders>
            <w:shd w:val="clear" w:color="auto" w:fill="auto"/>
            <w:vAlign w:val="center"/>
          </w:tcPr>
          <w:p w14:paraId="6A2ED8C7">
            <w:pPr>
              <w:keepNext w:val="0"/>
              <w:keepLines w:val="0"/>
              <w:widowControl w:val="0"/>
              <w:suppressLineNumbers w:val="0"/>
              <w:tabs>
                <w:tab w:val="left" w:pos="3885"/>
              </w:tabs>
              <w:spacing w:before="0" w:beforeAutospacing="0" w:after="0" w:afterAutospacing="0"/>
              <w:ind w:left="0" w:right="0"/>
              <w:jc w:val="both"/>
              <w:rPr>
                <w:rFonts w:hint="eastAsia" w:ascii="仿宋_GB2312" w:eastAsia="仿宋_GB2312" w:cs="仿宋_GB2312"/>
                <w:sz w:val="28"/>
                <w:szCs w:val="28"/>
                <w:highlight w:val="none"/>
                <w:lang w:val="en-US" w:eastAsia="zh-CN"/>
              </w:rPr>
            </w:pPr>
            <w:r>
              <w:rPr>
                <w:rFonts w:hint="eastAsia" w:ascii="仿宋_GB2312" w:hAnsi="Times New Roman" w:eastAsia="仿宋_GB2312" w:cs="仿宋_GB2312"/>
                <w:kern w:val="2"/>
                <w:sz w:val="28"/>
                <w:szCs w:val="20"/>
                <w:highlight w:val="none"/>
                <w:lang w:val="en-US" w:eastAsia="zh-CN" w:bidi="ar"/>
              </w:rPr>
              <w:t>局大气处，福州市生态环境保护综合执法支队，福州市晋安生态环境局，福州市闽侯生态环境局，福建新时代环保科技有限公司。</w:t>
            </w:r>
          </w:p>
        </w:tc>
      </w:tr>
      <w:tr w14:paraId="14B3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040" w:type="dxa"/>
            <w:gridSpan w:val="2"/>
            <w:tcBorders>
              <w:top w:val="single" w:color="auto" w:sz="4" w:space="0"/>
              <w:left w:val="nil"/>
              <w:bottom w:val="single" w:color="auto" w:sz="4" w:space="0"/>
              <w:right w:val="nil"/>
            </w:tcBorders>
            <w:shd w:val="clear" w:color="auto" w:fill="auto"/>
            <w:vAlign w:val="center"/>
          </w:tcPr>
          <w:p w14:paraId="5889A07C">
            <w:pPr>
              <w:keepNext w:val="0"/>
              <w:keepLines w:val="0"/>
              <w:widowControl w:val="0"/>
              <w:suppressLineNumbers w:val="0"/>
              <w:tabs>
                <w:tab w:val="left" w:pos="3885"/>
              </w:tabs>
              <w:spacing w:before="0" w:beforeAutospacing="0" w:after="0" w:afterAutospacing="0"/>
              <w:ind w:left="0" w:right="0" w:firstLine="179" w:firstLineChars="64"/>
              <w:jc w:val="both"/>
              <w:rPr>
                <w:rFonts w:eastAsia="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福州市生态环境局</w:t>
            </w:r>
          </w:p>
        </w:tc>
        <w:tc>
          <w:tcPr>
            <w:tcW w:w="3675" w:type="dxa"/>
            <w:tcBorders>
              <w:top w:val="single" w:color="auto" w:sz="4" w:space="0"/>
              <w:left w:val="nil"/>
              <w:bottom w:val="single" w:color="auto" w:sz="4" w:space="0"/>
              <w:right w:val="nil"/>
            </w:tcBorders>
            <w:shd w:val="clear" w:color="auto" w:fill="auto"/>
            <w:vAlign w:val="center"/>
          </w:tcPr>
          <w:p w14:paraId="3A3607BA">
            <w:pPr>
              <w:keepNext w:val="0"/>
              <w:keepLines w:val="0"/>
              <w:widowControl w:val="0"/>
              <w:suppressLineNumbers w:val="0"/>
              <w:tabs>
                <w:tab w:val="left" w:pos="3882"/>
                <w:tab w:val="left" w:pos="3987"/>
              </w:tabs>
              <w:spacing w:before="0" w:beforeAutospacing="0" w:after="0" w:afterAutospacing="0"/>
              <w:ind w:left="0" w:right="311" w:rightChars="148"/>
              <w:jc w:val="right"/>
              <w:rPr>
                <w:rFonts w:eastAsia="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2026年10月9日印发</w:t>
            </w:r>
          </w:p>
        </w:tc>
      </w:tr>
    </w:tbl>
    <w:p w14:paraId="1F5B20C1">
      <w:pPr>
        <w:rPr>
          <w:highlight w:val="none"/>
        </w:rPr>
      </w:pPr>
    </w:p>
    <w:sectPr>
      <w:footerReference r:id="rId3" w:type="default"/>
      <w:pgSz w:w="11906" w:h="16838"/>
      <w:pgMar w:top="1701" w:right="1587" w:bottom="1417"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decorative"/>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3F9CC">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7D3CA9">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E7D3CA9">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60251B"/>
    <w:multiLevelType w:val="singleLevel"/>
    <w:tmpl w:val="7460251B"/>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wMmU4YmM1MTQ3ZDUyOWQxMDA5OGU4MmQ5YTNiMDAifQ=="/>
  </w:docVars>
  <w:rsids>
    <w:rsidRoot w:val="2A7F762B"/>
    <w:rsid w:val="014F132C"/>
    <w:rsid w:val="01DD6FC1"/>
    <w:rsid w:val="0219705A"/>
    <w:rsid w:val="03CC5678"/>
    <w:rsid w:val="04FB7F45"/>
    <w:rsid w:val="06CF3FDF"/>
    <w:rsid w:val="076B63F8"/>
    <w:rsid w:val="07A5125E"/>
    <w:rsid w:val="07B76A03"/>
    <w:rsid w:val="08877123"/>
    <w:rsid w:val="08AD17B2"/>
    <w:rsid w:val="097912D2"/>
    <w:rsid w:val="0A0259D4"/>
    <w:rsid w:val="0A26139A"/>
    <w:rsid w:val="0A537496"/>
    <w:rsid w:val="0A7B2C42"/>
    <w:rsid w:val="0BCC101C"/>
    <w:rsid w:val="0E367DC2"/>
    <w:rsid w:val="0EBC0E2F"/>
    <w:rsid w:val="0F4A51BF"/>
    <w:rsid w:val="100F211B"/>
    <w:rsid w:val="10BD5131"/>
    <w:rsid w:val="11B15CE9"/>
    <w:rsid w:val="12340858"/>
    <w:rsid w:val="123E696C"/>
    <w:rsid w:val="12D0457D"/>
    <w:rsid w:val="132149F2"/>
    <w:rsid w:val="1339568F"/>
    <w:rsid w:val="13941148"/>
    <w:rsid w:val="155C0219"/>
    <w:rsid w:val="15B63938"/>
    <w:rsid w:val="16C049E6"/>
    <w:rsid w:val="17376763"/>
    <w:rsid w:val="173A433D"/>
    <w:rsid w:val="17C02571"/>
    <w:rsid w:val="17E92B56"/>
    <w:rsid w:val="185C0C0F"/>
    <w:rsid w:val="196B1FA1"/>
    <w:rsid w:val="1A07082D"/>
    <w:rsid w:val="1A2D6D57"/>
    <w:rsid w:val="1B9A3D5A"/>
    <w:rsid w:val="1BCC44C9"/>
    <w:rsid w:val="1C030825"/>
    <w:rsid w:val="1D16197A"/>
    <w:rsid w:val="1DB55799"/>
    <w:rsid w:val="1DD95805"/>
    <w:rsid w:val="1EB65F93"/>
    <w:rsid w:val="20835F2C"/>
    <w:rsid w:val="20BB52DA"/>
    <w:rsid w:val="213F3844"/>
    <w:rsid w:val="219278A5"/>
    <w:rsid w:val="23D1267C"/>
    <w:rsid w:val="25B53634"/>
    <w:rsid w:val="264F7B2D"/>
    <w:rsid w:val="26F17F87"/>
    <w:rsid w:val="26FA4A88"/>
    <w:rsid w:val="28A86FC8"/>
    <w:rsid w:val="29FF4EC3"/>
    <w:rsid w:val="2A7F762B"/>
    <w:rsid w:val="2CAD0908"/>
    <w:rsid w:val="2D2F4B41"/>
    <w:rsid w:val="2DD736A3"/>
    <w:rsid w:val="2E214D74"/>
    <w:rsid w:val="2E831059"/>
    <w:rsid w:val="2F652F3C"/>
    <w:rsid w:val="31DF7D29"/>
    <w:rsid w:val="32432891"/>
    <w:rsid w:val="32781451"/>
    <w:rsid w:val="330079CD"/>
    <w:rsid w:val="33216F2A"/>
    <w:rsid w:val="33B4282D"/>
    <w:rsid w:val="344B15E7"/>
    <w:rsid w:val="34565CE1"/>
    <w:rsid w:val="348E612C"/>
    <w:rsid w:val="34B92A27"/>
    <w:rsid w:val="35F51232"/>
    <w:rsid w:val="379F27DC"/>
    <w:rsid w:val="38FC70C7"/>
    <w:rsid w:val="396A64FB"/>
    <w:rsid w:val="3A8C1C1D"/>
    <w:rsid w:val="3B7B6102"/>
    <w:rsid w:val="3C461732"/>
    <w:rsid w:val="3C473A33"/>
    <w:rsid w:val="3D3048B4"/>
    <w:rsid w:val="3DB945F5"/>
    <w:rsid w:val="3DF40C89"/>
    <w:rsid w:val="3DFC5EE5"/>
    <w:rsid w:val="3E0A33AF"/>
    <w:rsid w:val="3EE3009A"/>
    <w:rsid w:val="4012040D"/>
    <w:rsid w:val="40183936"/>
    <w:rsid w:val="402C102B"/>
    <w:rsid w:val="407707ED"/>
    <w:rsid w:val="4152035B"/>
    <w:rsid w:val="4234076A"/>
    <w:rsid w:val="438B4B5B"/>
    <w:rsid w:val="43CA10AF"/>
    <w:rsid w:val="45314B84"/>
    <w:rsid w:val="47361F62"/>
    <w:rsid w:val="47B86C4C"/>
    <w:rsid w:val="47C411B6"/>
    <w:rsid w:val="49203E9F"/>
    <w:rsid w:val="49641AB4"/>
    <w:rsid w:val="4A69668E"/>
    <w:rsid w:val="4A810DC1"/>
    <w:rsid w:val="4B456184"/>
    <w:rsid w:val="4B997BD4"/>
    <w:rsid w:val="4BC03622"/>
    <w:rsid w:val="4CD339FE"/>
    <w:rsid w:val="4D626521"/>
    <w:rsid w:val="4DB67CDD"/>
    <w:rsid w:val="4E576091"/>
    <w:rsid w:val="51E27687"/>
    <w:rsid w:val="5328504E"/>
    <w:rsid w:val="545C3B2A"/>
    <w:rsid w:val="556F6A7A"/>
    <w:rsid w:val="56D6723A"/>
    <w:rsid w:val="56DD30D8"/>
    <w:rsid w:val="56FA33C7"/>
    <w:rsid w:val="570F789F"/>
    <w:rsid w:val="5773682D"/>
    <w:rsid w:val="58321F12"/>
    <w:rsid w:val="583D4447"/>
    <w:rsid w:val="5888040B"/>
    <w:rsid w:val="59790483"/>
    <w:rsid w:val="5985692A"/>
    <w:rsid w:val="5AB30E80"/>
    <w:rsid w:val="5CC121E7"/>
    <w:rsid w:val="5CFA554B"/>
    <w:rsid w:val="5D8466D6"/>
    <w:rsid w:val="5E49718B"/>
    <w:rsid w:val="5EF54E6E"/>
    <w:rsid w:val="5F775926"/>
    <w:rsid w:val="60407871"/>
    <w:rsid w:val="607F5EFC"/>
    <w:rsid w:val="610D1793"/>
    <w:rsid w:val="61464082"/>
    <w:rsid w:val="61AC3705"/>
    <w:rsid w:val="61BD2347"/>
    <w:rsid w:val="61CE62FF"/>
    <w:rsid w:val="635B63B9"/>
    <w:rsid w:val="63F11B0C"/>
    <w:rsid w:val="658D6D8D"/>
    <w:rsid w:val="674F436D"/>
    <w:rsid w:val="676676DF"/>
    <w:rsid w:val="68D109FB"/>
    <w:rsid w:val="69AA484A"/>
    <w:rsid w:val="6AC70905"/>
    <w:rsid w:val="6C2A2F12"/>
    <w:rsid w:val="6C524909"/>
    <w:rsid w:val="6CA5599E"/>
    <w:rsid w:val="6D0A06B5"/>
    <w:rsid w:val="6D8945FB"/>
    <w:rsid w:val="6E6E2E44"/>
    <w:rsid w:val="6EB81034"/>
    <w:rsid w:val="6EE5065E"/>
    <w:rsid w:val="6F460731"/>
    <w:rsid w:val="71B96986"/>
    <w:rsid w:val="731146F1"/>
    <w:rsid w:val="738F2046"/>
    <w:rsid w:val="73F3130E"/>
    <w:rsid w:val="749C56FE"/>
    <w:rsid w:val="75053496"/>
    <w:rsid w:val="75F77103"/>
    <w:rsid w:val="7626105F"/>
    <w:rsid w:val="76CA152F"/>
    <w:rsid w:val="77F875F7"/>
    <w:rsid w:val="783B4C00"/>
    <w:rsid w:val="791631A3"/>
    <w:rsid w:val="79B82111"/>
    <w:rsid w:val="7A710BAB"/>
    <w:rsid w:val="7A8147E0"/>
    <w:rsid w:val="7B0C6A7B"/>
    <w:rsid w:val="7BBE7194"/>
    <w:rsid w:val="7C031292"/>
    <w:rsid w:val="7C145F64"/>
    <w:rsid w:val="7C5B5079"/>
    <w:rsid w:val="7CC80452"/>
    <w:rsid w:val="7CDA4005"/>
    <w:rsid w:val="7E6B2C40"/>
    <w:rsid w:val="7F57538B"/>
    <w:rsid w:val="7F8F3DE7"/>
    <w:rsid w:val="7FA07A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0"/>
    <w:pPr>
      <w:spacing w:after="120" w:afterLines="0" w:afterAutospacing="0"/>
    </w:pPr>
    <w:rPr>
      <w:kern w:val="2"/>
      <w:sz w:val="21"/>
    </w:rPr>
  </w:style>
  <w:style w:type="paragraph" w:styleId="5">
    <w:name w:val="Body Text Indent"/>
    <w:basedOn w:val="1"/>
    <w:unhideWhenUsed/>
    <w:qFormat/>
    <w:uiPriority w:val="0"/>
    <w:pPr>
      <w:spacing w:after="120"/>
      <w:ind w:left="420" w:leftChars="200"/>
    </w:pPr>
  </w:style>
  <w:style w:type="paragraph" w:styleId="6">
    <w:name w:val="Date"/>
    <w:basedOn w:val="1"/>
    <w:next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楷体_GB2312" w:cs="Times New Roman"/>
      <w:kern w:val="2"/>
      <w:sz w:val="32"/>
      <w:szCs w:val="20"/>
      <w:lang w:val="en-US" w:eastAsia="zh-CN" w:bidi="ar"/>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w:basedOn w:val="4"/>
    <w:next w:val="1"/>
    <w:qFormat/>
    <w:uiPriority w:val="0"/>
    <w:pPr>
      <w:snapToGrid w:val="0"/>
      <w:spacing w:line="360" w:lineRule="auto"/>
      <w:ind w:firstLine="200" w:firstLineChars="200"/>
    </w:pPr>
    <w:rPr>
      <w:rFonts w:ascii="Courier New" w:hAnsi="Courier New" w:eastAsia="Times New Roman"/>
      <w:snapToGrid w:val="0"/>
      <w:color w:val="000000"/>
      <w:kern w:val="2"/>
    </w:rPr>
  </w:style>
  <w:style w:type="paragraph" w:styleId="11">
    <w:name w:val="Body Text First Indent 2"/>
    <w:basedOn w:val="1"/>
    <w:next w:val="10"/>
    <w:qFormat/>
    <w:uiPriority w:val="0"/>
    <w:pPr>
      <w:spacing w:after="0" w:line="420" w:lineRule="exact"/>
      <w:ind w:left="0" w:leftChars="0" w:firstLine="420"/>
    </w:pPr>
    <w:rPr>
      <w:rFonts w:ascii="仿宋_GB2312" w:eastAsia="Times New Roman"/>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annotation reference"/>
    <w:basedOn w:val="14"/>
    <w:qFormat/>
    <w:uiPriority w:val="0"/>
    <w:rPr>
      <w:sz w:val="21"/>
      <w:szCs w:val="21"/>
    </w:rPr>
  </w:style>
  <w:style w:type="character" w:customStyle="1" w:styleId="17">
    <w:name w:val="5文章(治) Char"/>
    <w:basedOn w:val="14"/>
    <w:qFormat/>
    <w:uiPriority w:val="0"/>
    <w:rPr>
      <w:rFonts w:hint="eastAsia" w:ascii="楷体_GB2312" w:eastAsia="楷体_GB2312" w:cs="楷体_GB2312"/>
      <w:kern w:val="2"/>
      <w:sz w:val="28"/>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1747</Words>
  <Characters>1898</Characters>
  <Lines>0</Lines>
  <Paragraphs>0</Paragraphs>
  <TotalTime>2</TotalTime>
  <ScaleCrop>false</ScaleCrop>
  <LinksUpToDate>false</LinksUpToDate>
  <CharactersWithSpaces>1898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2016-03-09T02:21:00Z</dcterms:created>
  <dc:creator>Yuri</dc:creator>
  <cp:lastModifiedBy>月见函灯</cp:lastModifiedBy>
  <cp:lastPrinted>2025-07-29T08:52:00Z</cp:lastPrinted>
  <dcterms:modified xsi:type="dcterms:W3CDTF">2026-10-09T01:19:18Z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F0B55063A6DA481EA0933624C05EB824_13</vt:lpwstr>
  </property>
  <property fmtid="{D5CDD505-2E9C-101B-9397-08002B2CF9AE}" pid="4" name="KSOTemplateDocerSaveRecord">
    <vt:lpwstr>eyJoZGlkIjoiMDkxNDM5NTI3YTI2MzU0NTA3MzliODM2N2FlYTc2NjYiLCJ1c2VySWQiOiI0MjM3NjMwNzUifQ==</vt:lpwstr>
  </property>
</Properties>
</file>