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5367845">
      <w:pPr>
        <w:widowControl/>
        <w:ind w:left="0" w:leftChars="0"/>
        <w:jc w:val="right"/>
        <w:rPr>
          <w:rFonts w:ascii="仿宋_GB2312" w:hAnsi="宋体" w:eastAsia="仿宋_GB2312" w:cs="仿宋_GB2312"/>
          <w:i w:val="0"/>
          <w:caps w:val="0"/>
          <w:color w:val="000000"/>
          <w:spacing w:val="0"/>
          <w:kern w:val="0"/>
          <w:sz w:val="32"/>
          <w:szCs w:val="32"/>
          <w:u w:val="none"/>
          <w:lang w:val="en-US" w:eastAsia="zh-CN" w:bidi="ar"/>
        </w:rPr>
      </w:pPr>
    </w:p>
    <w:p w14:paraId="6CF0836B">
      <w:pPr>
        <w:widowControl/>
        <w:ind w:left="0" w:leftChars="0"/>
        <w:jc w:val="right"/>
        <w:rPr>
          <w:rFonts w:ascii="仿宋_GB2312" w:hAnsi="宋体" w:eastAsia="仿宋_GB2312" w:cs="仿宋_GB2312"/>
          <w:i w:val="0"/>
          <w:caps w:val="0"/>
          <w:color w:val="000000"/>
          <w:spacing w:val="0"/>
          <w:kern w:val="0"/>
          <w:sz w:val="32"/>
          <w:szCs w:val="32"/>
          <w:u w:val="none"/>
          <w:lang w:val="en-US" w:eastAsia="zh-CN" w:bidi="ar"/>
        </w:rPr>
      </w:pPr>
    </w:p>
    <w:p w14:paraId="086104B8">
      <w:pPr>
        <w:widowControl/>
        <w:ind w:left="0" w:leftChars="0"/>
        <w:jc w:val="right"/>
      </w:pPr>
      <w:r>
        <w:rPr>
          <w:rFonts w:ascii="仿宋_GB2312" w:hAnsi="宋体" w:eastAsia="仿宋_GB2312" w:cs="仿宋_GB2312"/>
          <w:i w:val="0"/>
          <w:caps w:val="0"/>
          <w:color w:val="000000"/>
          <w:spacing w:val="0"/>
          <w:kern w:val="0"/>
          <w:sz w:val="32"/>
          <w:szCs w:val="32"/>
          <w:u w:val="none"/>
          <w:lang w:val="en-US" w:eastAsia="zh-CN" w:bidi="ar"/>
        </w:rPr>
        <w:t>榕环评〔2026〕</w:t>
      </w:r>
      <w:r>
        <w:rPr>
          <w:rFonts w:hint="eastAsia" w:ascii="仿宋_GB2312" w:hAnsi="宋体" w:eastAsia="仿宋_GB2312" w:cs="仿宋_GB2312"/>
          <w:i w:val="0"/>
          <w:caps w:val="0"/>
          <w:color w:val="000000"/>
          <w:spacing w:val="0"/>
          <w:kern w:val="0"/>
          <w:sz w:val="32"/>
          <w:szCs w:val="32"/>
          <w:u w:val="none"/>
          <w:lang w:val="en-US" w:eastAsia="zh-CN" w:bidi="ar"/>
        </w:rPr>
        <w:t>74</w:t>
      </w:r>
      <w:r>
        <w:rPr>
          <w:rFonts w:ascii="仿宋_GB2312" w:hAnsi="宋体" w:eastAsia="仿宋_GB2312" w:cs="仿宋_GB2312"/>
          <w:i w:val="0"/>
          <w:caps w:val="0"/>
          <w:color w:val="000000"/>
          <w:spacing w:val="0"/>
          <w:kern w:val="0"/>
          <w:sz w:val="32"/>
          <w:szCs w:val="32"/>
          <w:u w:val="none"/>
          <w:lang w:val="en-US" w:eastAsia="zh-CN" w:bidi="ar"/>
        </w:rPr>
        <w:t>号</w:t>
      </w:r>
    </w:p>
    <w:p w14:paraId="087CA9E7">
      <w:pPr>
        <w:spacing w:line="600" w:lineRule="exact"/>
        <w:jc w:val="center"/>
        <w:rPr>
          <w:rFonts w:hint="eastAsia" w:ascii="宋体" w:hAnsi="宋体" w:eastAsia="宋体" w:cs="宋体"/>
          <w:sz w:val="32"/>
          <w:szCs w:val="32"/>
          <w:lang w:eastAsia="zh-CN"/>
        </w:rPr>
      </w:pPr>
    </w:p>
    <w:p w14:paraId="07D70A15">
      <w:pPr>
        <w:spacing w:line="600" w:lineRule="exact"/>
        <w:jc w:val="center"/>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t>福州市生态环境局</w:t>
      </w:r>
    </w:p>
    <w:p w14:paraId="53417CD9">
      <w:pPr>
        <w:spacing w:line="600" w:lineRule="exact"/>
        <w:jc w:val="center"/>
        <w:rPr>
          <w:rFonts w:hint="eastAsia"/>
          <w:sz w:val="44"/>
          <w:szCs w:val="44"/>
          <w:lang w:eastAsia="zh-CN"/>
        </w:rPr>
      </w:pPr>
      <w:r>
        <w:rPr>
          <w:rFonts w:hint="eastAsia" w:ascii="宋体" w:hAnsi="宋体" w:eastAsia="宋体" w:cs="宋体"/>
          <w:b/>
          <w:bCs/>
          <w:sz w:val="44"/>
          <w:szCs w:val="44"/>
          <w:lang w:eastAsia="zh-CN"/>
        </w:rPr>
        <w:t>关于年产3万吨定型镁碳砖及2万吨不定形耐火材料生产项目生态环境影响报告表的审批意见</w:t>
      </w:r>
    </w:p>
    <w:p w14:paraId="778BF10A">
      <w:pPr>
        <w:spacing w:line="600" w:lineRule="exact"/>
        <w:rPr>
          <w:rFonts w:hint="eastAsia"/>
          <w:lang w:eastAsia="zh-CN"/>
        </w:rPr>
      </w:pPr>
    </w:p>
    <w:p w14:paraId="6BC557F6">
      <w:pPr>
        <w:pStyle w:val="8"/>
        <w:keepNext w:val="0"/>
        <w:keepLines w:val="0"/>
        <w:pageBreakBefore w:val="0"/>
        <w:widowControl/>
        <w:kinsoku/>
        <w:overflowPunct/>
        <w:topLinePunct w:val="0"/>
        <w:autoSpaceDE/>
        <w:autoSpaceDN/>
        <w:bidi w:val="0"/>
        <w:adjustRightInd/>
        <w:spacing w:beforeAutospacing="0" w:after="0" w:afterAutospacing="0" w:line="540" w:lineRule="exact"/>
        <w:ind w:left="0" w:right="0" w:firstLine="0"/>
        <w:jc w:val="both"/>
        <w:textAlignment w:val="auto"/>
        <w:rPr>
          <w:rFonts w:hint="eastAsia" w:ascii="仿宋_GB2312" w:hAnsi="仿宋_GB2312" w:eastAsia="仿宋_GB2312" w:cs="仿宋_GB2312"/>
          <w:i w:val="0"/>
          <w:caps w:val="0"/>
          <w:color w:val="000000"/>
          <w:spacing w:val="0"/>
          <w:sz w:val="32"/>
          <w:szCs w:val="32"/>
        </w:rPr>
      </w:pPr>
      <w:r>
        <w:rPr>
          <w:rFonts w:hint="eastAsia" w:ascii="仿宋_GB2312" w:hAnsi="仿宋_GB2312" w:eastAsia="仿宋_GB2312" w:cs="仿宋_GB2312"/>
          <w:i w:val="0"/>
          <w:caps w:val="0"/>
          <w:color w:val="000000"/>
          <w:spacing w:val="0"/>
          <w:sz w:val="32"/>
          <w:szCs w:val="32"/>
          <w:lang w:eastAsia="zh-CN"/>
        </w:rPr>
        <w:t>福建弘丰新材料</w:t>
      </w:r>
      <w:r>
        <w:rPr>
          <w:rFonts w:hint="eastAsia" w:ascii="仿宋_GB2312" w:hAnsi="仿宋_GB2312" w:eastAsia="仿宋_GB2312" w:cs="仿宋_GB2312"/>
          <w:i w:val="0"/>
          <w:caps w:val="0"/>
          <w:color w:val="000000"/>
          <w:spacing w:val="0"/>
          <w:sz w:val="32"/>
          <w:szCs w:val="32"/>
        </w:rPr>
        <w:t>有限公司：</w:t>
      </w:r>
    </w:p>
    <w:p w14:paraId="6A9D9651">
      <w:pPr>
        <w:pStyle w:val="8"/>
        <w:keepNext w:val="0"/>
        <w:keepLines w:val="0"/>
        <w:pageBreakBefore w:val="0"/>
        <w:widowControl/>
        <w:kinsoku/>
        <w:overflowPunct/>
        <w:topLinePunct w:val="0"/>
        <w:autoSpaceDE/>
        <w:autoSpaceDN/>
        <w:bidi w:val="0"/>
        <w:adjustRightInd/>
        <w:spacing w:beforeAutospacing="0" w:after="0" w:afterAutospacing="0" w:line="540" w:lineRule="exact"/>
        <w:ind w:left="0" w:right="0" w:firstLine="480"/>
        <w:jc w:val="both"/>
        <w:textAlignment w:val="auto"/>
        <w:rPr>
          <w:rFonts w:hint="eastAsia" w:ascii="仿宋_GB2312" w:hAnsi="仿宋_GB2312" w:eastAsia="仿宋_GB2312" w:cs="仿宋_GB2312"/>
          <w:i w:val="0"/>
          <w:caps w:val="0"/>
          <w:color w:val="000000"/>
          <w:spacing w:val="0"/>
          <w:sz w:val="32"/>
          <w:szCs w:val="32"/>
        </w:rPr>
      </w:pPr>
      <w:r>
        <w:rPr>
          <w:rFonts w:hint="eastAsia" w:ascii="仿宋_GB2312" w:hAnsi="仿宋_GB2312" w:eastAsia="仿宋_GB2312" w:cs="仿宋_GB2312"/>
          <w:i w:val="0"/>
          <w:caps w:val="0"/>
          <w:color w:val="000000"/>
          <w:spacing w:val="0"/>
          <w:sz w:val="32"/>
          <w:szCs w:val="32"/>
        </w:rPr>
        <w:t>你司报送的《</w:t>
      </w:r>
      <w:r>
        <w:rPr>
          <w:rFonts w:hint="eastAsia" w:ascii="仿宋_GB2312" w:hAnsi="仿宋_GB2312" w:eastAsia="仿宋_GB2312" w:cs="仿宋_GB2312"/>
          <w:i w:val="0"/>
          <w:caps w:val="0"/>
          <w:color w:val="000000"/>
          <w:spacing w:val="0"/>
          <w:sz w:val="32"/>
          <w:szCs w:val="32"/>
          <w:lang w:eastAsia="zh-CN"/>
        </w:rPr>
        <w:t>年产3万吨定型镁碳砖及2万吨不定形耐火材料生产项目</w:t>
      </w:r>
      <w:r>
        <w:rPr>
          <w:rFonts w:hint="eastAsia" w:ascii="仿宋_GB2312" w:hAnsi="仿宋_GB2312" w:eastAsia="仿宋_GB2312" w:cs="仿宋_GB2312"/>
          <w:i w:val="0"/>
          <w:caps w:val="0"/>
          <w:color w:val="000000"/>
          <w:spacing w:val="0"/>
          <w:sz w:val="32"/>
          <w:szCs w:val="32"/>
        </w:rPr>
        <w:t>生态环境影响报告表》(以下简称《报告表》)收悉。经研究，并征求福州市</w:t>
      </w:r>
      <w:r>
        <w:rPr>
          <w:rFonts w:hint="eastAsia" w:ascii="仿宋_GB2312" w:hAnsi="仿宋_GB2312" w:eastAsia="仿宋_GB2312" w:cs="仿宋_GB2312"/>
          <w:i w:val="0"/>
          <w:caps w:val="0"/>
          <w:color w:val="000000"/>
          <w:spacing w:val="0"/>
          <w:sz w:val="32"/>
          <w:szCs w:val="32"/>
          <w:lang w:eastAsia="zh-CN"/>
        </w:rPr>
        <w:t>连江</w:t>
      </w:r>
      <w:r>
        <w:rPr>
          <w:rFonts w:hint="eastAsia" w:ascii="仿宋_GB2312" w:hAnsi="仿宋_GB2312" w:eastAsia="仿宋_GB2312" w:cs="仿宋_GB2312"/>
          <w:i w:val="0"/>
          <w:caps w:val="0"/>
          <w:color w:val="000000"/>
          <w:spacing w:val="0"/>
          <w:sz w:val="32"/>
          <w:szCs w:val="32"/>
        </w:rPr>
        <w:t>生态环境局意见，现提出审批意见如下：</w:t>
      </w:r>
    </w:p>
    <w:p w14:paraId="343A8CC7">
      <w:pPr>
        <w:pStyle w:val="8"/>
        <w:keepNext w:val="0"/>
        <w:keepLines w:val="0"/>
        <w:pageBreakBefore w:val="0"/>
        <w:widowControl/>
        <w:kinsoku/>
        <w:overflowPunct/>
        <w:topLinePunct w:val="0"/>
        <w:autoSpaceDE/>
        <w:autoSpaceDN/>
        <w:bidi w:val="0"/>
        <w:adjustRightInd/>
        <w:spacing w:beforeAutospacing="0" w:after="0" w:afterAutospacing="0" w:line="54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rPr>
      </w:pPr>
      <w:r>
        <w:rPr>
          <w:rFonts w:hint="eastAsia" w:ascii="仿宋_GB2312" w:hAnsi="仿宋_GB2312" w:eastAsia="仿宋_GB2312" w:cs="仿宋_GB2312"/>
          <w:i w:val="0"/>
          <w:caps w:val="0"/>
          <w:color w:val="000000"/>
          <w:spacing w:val="0"/>
          <w:sz w:val="32"/>
          <w:szCs w:val="32"/>
        </w:rPr>
        <w:t>一、</w:t>
      </w:r>
      <w:r>
        <w:rPr>
          <w:rFonts w:hint="eastAsia" w:ascii="仿宋_GB2312" w:hAnsi="仿宋_GB2312" w:eastAsia="仿宋_GB2312" w:cs="仿宋_GB2312"/>
          <w:i w:val="0"/>
          <w:caps w:val="0"/>
          <w:color w:val="000000"/>
          <w:spacing w:val="0"/>
          <w:sz w:val="32"/>
          <w:szCs w:val="32"/>
          <w:lang w:eastAsia="zh-CN"/>
        </w:rPr>
        <w:t>该</w:t>
      </w:r>
      <w:r>
        <w:rPr>
          <w:rFonts w:hint="eastAsia" w:ascii="仿宋_GB2312" w:hAnsi="仿宋_GB2312" w:eastAsia="仿宋_GB2312" w:cs="仿宋_GB2312"/>
          <w:i w:val="0"/>
          <w:caps w:val="0"/>
          <w:color w:val="000000"/>
          <w:spacing w:val="0"/>
          <w:sz w:val="32"/>
          <w:szCs w:val="32"/>
        </w:rPr>
        <w:t>项目位于福建省福州市</w:t>
      </w:r>
      <w:r>
        <w:rPr>
          <w:rFonts w:hint="eastAsia" w:ascii="仿宋_GB2312" w:hAnsi="仿宋_GB2312" w:eastAsia="仿宋_GB2312" w:cs="仿宋_GB2312"/>
          <w:i w:val="0"/>
          <w:caps w:val="0"/>
          <w:color w:val="000000"/>
          <w:spacing w:val="0"/>
          <w:sz w:val="32"/>
          <w:szCs w:val="32"/>
          <w:lang w:eastAsia="zh-CN"/>
        </w:rPr>
        <w:t>连江县东湖镇瑞安路58号</w:t>
      </w:r>
      <w:r>
        <w:rPr>
          <w:rFonts w:hint="eastAsia" w:ascii="仿宋_GB2312" w:hAnsi="仿宋_GB2312" w:eastAsia="仿宋_GB2312" w:cs="仿宋_GB2312"/>
          <w:i w:val="0"/>
          <w:caps w:val="0"/>
          <w:color w:val="000000"/>
          <w:spacing w:val="0"/>
          <w:sz w:val="32"/>
          <w:szCs w:val="32"/>
        </w:rPr>
        <w:t>，</w:t>
      </w:r>
      <w:r>
        <w:rPr>
          <w:rFonts w:hint="eastAsia" w:ascii="仿宋_GB2312" w:hAnsi="仿宋_GB2312" w:eastAsia="仿宋_GB2312" w:cs="仿宋_GB2312"/>
          <w:i w:val="0"/>
          <w:caps w:val="0"/>
          <w:color w:val="000000"/>
          <w:spacing w:val="0"/>
          <w:sz w:val="32"/>
          <w:szCs w:val="32"/>
          <w:lang w:eastAsia="zh-CN"/>
        </w:rPr>
        <w:t>福建华兰泰五金工具有限公司</w:t>
      </w:r>
      <w:r>
        <w:rPr>
          <w:rFonts w:hint="eastAsia" w:ascii="仿宋_GB2312" w:hAnsi="仿宋_GB2312" w:eastAsia="仿宋_GB2312" w:cs="仿宋_GB2312"/>
          <w:i w:val="0"/>
          <w:caps w:val="0"/>
          <w:color w:val="000000"/>
          <w:spacing w:val="0"/>
          <w:sz w:val="32"/>
          <w:szCs w:val="32"/>
          <w:lang w:val="en-US" w:eastAsia="zh-CN"/>
        </w:rPr>
        <w:t>3号厂房租赁范围内，</w:t>
      </w:r>
      <w:r>
        <w:rPr>
          <w:rFonts w:hint="eastAsia" w:ascii="仿宋_GB2312" w:hAnsi="仿宋_GB2312" w:eastAsia="仿宋_GB2312" w:cs="仿宋_GB2312"/>
          <w:i w:val="0"/>
          <w:caps w:val="0"/>
          <w:color w:val="000000"/>
          <w:spacing w:val="0"/>
          <w:sz w:val="32"/>
          <w:szCs w:val="32"/>
        </w:rPr>
        <w:t>建设项目内容主要有：</w:t>
      </w:r>
      <w:r>
        <w:rPr>
          <w:rFonts w:hint="eastAsia" w:ascii="仿宋_GB2312" w:hAnsi="仿宋_GB2312" w:eastAsia="仿宋_GB2312" w:cs="仿宋_GB2312"/>
          <w:i w:val="0"/>
          <w:caps w:val="0"/>
          <w:color w:val="000000"/>
          <w:spacing w:val="0"/>
          <w:sz w:val="32"/>
          <w:szCs w:val="32"/>
          <w:lang w:eastAsia="zh-CN"/>
        </w:rPr>
        <w:t>租用建筑面积8974</w:t>
      </w:r>
      <w:r>
        <w:rPr>
          <w:rFonts w:hint="eastAsia" w:ascii="仿宋_GB2312" w:hAnsi="仿宋_GB2312" w:eastAsia="仿宋_GB2312" w:cs="仿宋_GB2312"/>
          <w:i w:val="0"/>
          <w:caps w:val="0"/>
          <w:color w:val="000000"/>
          <w:spacing w:val="0"/>
          <w:sz w:val="32"/>
          <w:szCs w:val="32"/>
          <w:lang w:val="en-US" w:eastAsia="zh-CN"/>
        </w:rPr>
        <w:t>.83平方米的厂房，</w:t>
      </w:r>
      <w:r>
        <w:rPr>
          <w:rFonts w:hint="eastAsia" w:ascii="仿宋_GB2312" w:hAnsi="仿宋_GB2312" w:eastAsia="仿宋_GB2312" w:cs="仿宋_GB2312"/>
          <w:i w:val="0"/>
          <w:caps w:val="0"/>
          <w:color w:val="000000"/>
          <w:spacing w:val="0"/>
          <w:sz w:val="32"/>
          <w:szCs w:val="32"/>
          <w:lang w:eastAsia="zh-CN"/>
        </w:rPr>
        <w:t>购进燃气窑等相关生产及辅助设备，年产3万吨定型镁碳砖及2万吨不定型耐火材料</w:t>
      </w:r>
      <w:r>
        <w:rPr>
          <w:rFonts w:hint="eastAsia" w:ascii="仿宋_GB2312" w:hAnsi="仿宋_GB2312" w:eastAsia="仿宋_GB2312" w:cs="仿宋_GB2312"/>
          <w:i w:val="0"/>
          <w:caps w:val="0"/>
          <w:color w:val="000000"/>
          <w:spacing w:val="0"/>
          <w:sz w:val="32"/>
          <w:szCs w:val="32"/>
        </w:rPr>
        <w:t>。</w:t>
      </w:r>
    </w:p>
    <w:p w14:paraId="56BB83E8">
      <w:pPr>
        <w:pStyle w:val="8"/>
        <w:keepNext w:val="0"/>
        <w:keepLines w:val="0"/>
        <w:pageBreakBefore w:val="0"/>
        <w:widowControl/>
        <w:kinsoku/>
        <w:overflowPunct/>
        <w:topLinePunct w:val="0"/>
        <w:autoSpaceDE/>
        <w:autoSpaceDN/>
        <w:bidi w:val="0"/>
        <w:adjustRightInd/>
        <w:spacing w:beforeAutospacing="0" w:after="0" w:afterAutospacing="0" w:line="54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rPr>
      </w:pPr>
      <w:r>
        <w:rPr>
          <w:rFonts w:hint="eastAsia" w:ascii="仿宋_GB2312" w:hAnsi="仿宋_GB2312" w:eastAsia="仿宋_GB2312" w:cs="仿宋_GB2312"/>
          <w:i w:val="0"/>
          <w:caps w:val="0"/>
          <w:color w:val="000000"/>
          <w:spacing w:val="0"/>
          <w:sz w:val="32"/>
          <w:szCs w:val="32"/>
        </w:rPr>
        <w:t>根据《报告表》评价结论，该项目符合生态环境保护相关法律法规和政策，符合福州市生态环境分区管控</w:t>
      </w:r>
      <w:r>
        <w:rPr>
          <w:rFonts w:hint="eastAsia" w:ascii="仿宋_GB2312" w:hAnsi="仿宋_GB2312" w:eastAsia="仿宋_GB2312" w:cs="仿宋_GB2312"/>
          <w:i w:val="0"/>
          <w:caps w:val="0"/>
          <w:color w:val="000000"/>
          <w:spacing w:val="0"/>
          <w:sz w:val="32"/>
          <w:szCs w:val="32"/>
          <w:lang w:eastAsia="zh-CN"/>
        </w:rPr>
        <w:t>，连江经济开发区规划及规划环评</w:t>
      </w:r>
      <w:r>
        <w:rPr>
          <w:rFonts w:hint="eastAsia" w:ascii="仿宋_GB2312" w:hAnsi="仿宋_GB2312" w:eastAsia="仿宋_GB2312" w:cs="仿宋_GB2312"/>
          <w:i w:val="0"/>
          <w:caps w:val="0"/>
          <w:color w:val="000000"/>
          <w:spacing w:val="0"/>
          <w:sz w:val="32"/>
          <w:szCs w:val="32"/>
        </w:rPr>
        <w:t>要求。在严格落实《报告表》提出的各项生态环境保护和环境风险防控措施，加强环境管理的前提下，从环境影响角度分析，项目建设可行。我局原则同意《报告表》中所列建设项目的性质、规模、地点、工艺和拟采取的环境保护对策措施。</w:t>
      </w:r>
    </w:p>
    <w:p w14:paraId="2B6DE53C">
      <w:pPr>
        <w:pStyle w:val="8"/>
        <w:keepNext w:val="0"/>
        <w:keepLines w:val="0"/>
        <w:pageBreakBefore w:val="0"/>
        <w:widowControl/>
        <w:kinsoku/>
        <w:overflowPunct/>
        <w:topLinePunct w:val="0"/>
        <w:autoSpaceDE/>
        <w:autoSpaceDN/>
        <w:bidi w:val="0"/>
        <w:adjustRightInd/>
        <w:spacing w:beforeAutospacing="0" w:after="0" w:afterAutospacing="0" w:line="54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rPr>
      </w:pPr>
      <w:r>
        <w:rPr>
          <w:rFonts w:hint="eastAsia" w:ascii="仿宋_GB2312" w:hAnsi="仿宋_GB2312" w:eastAsia="仿宋_GB2312" w:cs="仿宋_GB2312"/>
          <w:i w:val="0"/>
          <w:caps w:val="0"/>
          <w:color w:val="000000"/>
          <w:spacing w:val="0"/>
          <w:sz w:val="32"/>
          <w:szCs w:val="32"/>
        </w:rPr>
        <w:t>二、项目在施工和运营中应认真落实《报告表》提出的各项环境保护措施，重点做好以下工作：</w:t>
      </w:r>
    </w:p>
    <w:p w14:paraId="55418857">
      <w:pPr>
        <w:keepNext w:val="0"/>
        <w:keepLines w:val="0"/>
        <w:pageBreakBefore w:val="0"/>
        <w:numPr>
          <w:ilvl w:val="0"/>
          <w:numId w:val="0"/>
        </w:numPr>
        <w:kinsoku/>
        <w:overflowPunct/>
        <w:topLinePunct w:val="0"/>
        <w:autoSpaceDE/>
        <w:autoSpaceDN/>
        <w:bidi w:val="0"/>
        <w:adjustRightInd/>
        <w:snapToGrid w:val="0"/>
        <w:spacing w:line="540" w:lineRule="exact"/>
        <w:ind w:firstLine="640" w:firstLineChars="200"/>
        <w:textAlignment w:val="auto"/>
        <w:rPr>
          <w:rFonts w:hint="eastAsia" w:ascii="仿宋_GB2312" w:hAnsi="仿宋_GB2312" w:eastAsia="仿宋_GB2312" w:cs="仿宋_GB2312"/>
          <w:sz w:val="32"/>
          <w:szCs w:val="32"/>
          <w:highlight w:val="none"/>
          <w:lang w:val="en-US" w:eastAsia="zh-CN" w:bidi="ar"/>
        </w:rPr>
      </w:pPr>
      <w:r>
        <w:rPr>
          <w:rFonts w:hint="eastAsia" w:ascii="仿宋_GB2312" w:hAnsi="仿宋_GB2312" w:eastAsia="仿宋_GB2312" w:cs="仿宋_GB2312"/>
          <w:i w:val="0"/>
          <w:caps w:val="0"/>
          <w:color w:val="000000"/>
          <w:spacing w:val="0"/>
          <w:sz w:val="32"/>
          <w:szCs w:val="32"/>
        </w:rPr>
        <w:t>（一）</w:t>
      </w:r>
      <w:r>
        <w:rPr>
          <w:rFonts w:hint="eastAsia" w:ascii="仿宋_GB2312" w:hAnsi="仿宋_GB2312" w:eastAsia="仿宋_GB2312" w:cs="仿宋_GB2312"/>
          <w:sz w:val="32"/>
          <w:szCs w:val="32"/>
          <w:highlight w:val="none"/>
          <w:lang w:val="en-US" w:eastAsia="zh-CN" w:bidi="ar"/>
        </w:rPr>
        <w:t>严格落实各项废气污染治理措施，确保各类生产废气有效收集处理后达标排放。项目排气筒数量、高度应达到《报告表》要求并符合相关规定。排气筒应按规范预留永久监测口，并按照《报告表》及相关技术规范要求开展运营期污染源自行监测。项目各无组织废气产排节点应按照《报告表》及相关规定要求采取有效的控制措施，减少无组织排放。</w:t>
      </w:r>
    </w:p>
    <w:p w14:paraId="202E7C73">
      <w:pPr>
        <w:keepNext w:val="0"/>
        <w:keepLines w:val="0"/>
        <w:pageBreakBefore w:val="0"/>
        <w:widowControl/>
        <w:kinsoku/>
        <w:wordWrap w:val="0"/>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caps w:val="0"/>
          <w:color w:val="000000"/>
          <w:spacing w:val="0"/>
          <w:kern w:val="2"/>
          <w:sz w:val="32"/>
          <w:szCs w:val="32"/>
          <w:highlight w:val="none"/>
          <w:lang w:val="en-US" w:eastAsia="zh-CN" w:bidi="ar-SA"/>
        </w:rPr>
        <w:t>废气排放执行《耐火材料工业大气污染物排放标准》（GB46790—2025）表1、表3、表5排放限值，其中，部分设备烟气还应按照企业承诺，执行《福建省工业炉窑大气污染物综合治理方案》（闽环保大气〔2019〕10号）排放限值要求，即二氧化硫、氮氧化物排放限值分别不高于200、300毫克/立方米；颗粒物、非甲烷总烃厂区内监控点任意一次浓度值、厂区内监控点1小时平均浓度值执行《耐火材料工业大气污染物排放标准》（GB46790—2025）表4排放限值；边界环境空气中酚类、颗粒物和非甲烷总烃浓度应符合《大气污染物综合排放标准》（GB16297-1996）中表2规定的限值；恶臭污染物臭气浓度有组织排放执行《恶臭污染物排放标准》（GB14554-93）表2中对应排气筒高度的标准限值，无组织排放执行《恶臭污染物排放标准》GB14554-93）表1中的二级标准（新扩改建）。</w:t>
      </w:r>
    </w:p>
    <w:p w14:paraId="3AD9481F">
      <w:pPr>
        <w:pStyle w:val="8"/>
        <w:keepNext w:val="0"/>
        <w:keepLines w:val="0"/>
        <w:pageBreakBefore w:val="0"/>
        <w:widowControl/>
        <w:kinsoku/>
        <w:overflowPunct/>
        <w:topLinePunct w:val="0"/>
        <w:autoSpaceDE/>
        <w:autoSpaceDN/>
        <w:bidi w:val="0"/>
        <w:adjustRightInd/>
        <w:spacing w:beforeAutospacing="0" w:after="0" w:afterAutospacing="0" w:line="54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highlight w:val="none"/>
        </w:rPr>
      </w:pPr>
      <w:r>
        <w:rPr>
          <w:rFonts w:hint="eastAsia" w:ascii="仿宋_GB2312" w:hAnsi="仿宋_GB2312" w:eastAsia="仿宋_GB2312" w:cs="仿宋_GB2312"/>
          <w:i w:val="0"/>
          <w:caps w:val="0"/>
          <w:color w:val="000000"/>
          <w:spacing w:val="0"/>
          <w:kern w:val="2"/>
          <w:sz w:val="32"/>
          <w:szCs w:val="32"/>
          <w:highlight w:val="none"/>
          <w:lang w:val="en-US" w:eastAsia="zh-CN" w:bidi="ar-SA"/>
        </w:rPr>
        <w:t>（二）项目不产生生产废水，运营期产生的生活废水经化粪池处理后接入市政污水管网排入连江县城区污水处理厂，不外排。生</w:t>
      </w:r>
      <w:r>
        <w:rPr>
          <w:rFonts w:hint="eastAsia" w:ascii="仿宋_GB2312" w:hAnsi="仿宋_GB2312" w:eastAsia="仿宋_GB2312" w:cs="仿宋_GB2312"/>
          <w:i w:val="0"/>
          <w:caps w:val="0"/>
          <w:color w:val="000000"/>
          <w:spacing w:val="0"/>
          <w:sz w:val="32"/>
          <w:szCs w:val="32"/>
          <w:highlight w:val="none"/>
          <w:lang w:eastAsia="zh-CN"/>
        </w:rPr>
        <w:t>活污水排放执行《污水综合排放标准》（GB8978-1996）表4三级标准。</w:t>
      </w:r>
      <w:r>
        <w:rPr>
          <w:rFonts w:hint="eastAsia" w:ascii="仿宋_GB2312" w:hAnsi="仿宋_GB2312" w:eastAsia="仿宋_GB2312" w:cs="仿宋_GB2312"/>
          <w:i w:val="0"/>
          <w:caps w:val="0"/>
          <w:color w:val="000000"/>
          <w:spacing w:val="0"/>
          <w:sz w:val="32"/>
          <w:szCs w:val="32"/>
          <w:highlight w:val="none"/>
        </w:rPr>
        <w:t>优化总平布局，</w:t>
      </w:r>
      <w:r>
        <w:rPr>
          <w:rFonts w:hint="eastAsia" w:ascii="仿宋_GB2312" w:hAnsi="仿宋_GB2312" w:eastAsia="仿宋_GB2312" w:cs="仿宋_GB2312"/>
          <w:i w:val="0"/>
          <w:caps w:val="0"/>
          <w:color w:val="000000"/>
          <w:spacing w:val="0"/>
          <w:sz w:val="32"/>
          <w:szCs w:val="32"/>
          <w:highlight w:val="none"/>
          <w:shd w:val="clear" w:fill="FFFFFF"/>
        </w:rPr>
        <w:t>优先选用低噪声设备，合理布设放散管等高噪声设备，</w:t>
      </w:r>
      <w:r>
        <w:rPr>
          <w:rFonts w:hint="eastAsia" w:ascii="仿宋_GB2312" w:hAnsi="仿宋_GB2312" w:eastAsia="仿宋_GB2312" w:cs="仿宋_GB2312"/>
          <w:i w:val="0"/>
          <w:caps w:val="0"/>
          <w:color w:val="000000"/>
          <w:spacing w:val="0"/>
          <w:sz w:val="32"/>
          <w:szCs w:val="32"/>
          <w:highlight w:val="none"/>
        </w:rPr>
        <w:t>并采取隔声、消声、减振等措施，确保厂区昼间、夜间噪声达到《工业企业厂界环境噪声排放标准》（GB12348-2008）3类标准。</w:t>
      </w:r>
    </w:p>
    <w:p w14:paraId="5E5250B9">
      <w:pPr>
        <w:keepNext w:val="0"/>
        <w:keepLines w:val="0"/>
        <w:pageBreakBefore w:val="0"/>
        <w:widowControl/>
        <w:kinsoku/>
        <w:overflowPunct/>
        <w:topLinePunct w:val="0"/>
        <w:autoSpaceDE/>
        <w:autoSpaceDN/>
        <w:bidi w:val="0"/>
        <w:adjustRightInd/>
        <w:spacing w:beforeAutospacing="0" w:after="0" w:afterAutospacing="0" w:line="54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highlight w:val="none"/>
        </w:rPr>
      </w:pPr>
      <w:r>
        <w:rPr>
          <w:rFonts w:hint="eastAsia" w:ascii="仿宋_GB2312" w:hAnsi="仿宋_GB2312" w:eastAsia="仿宋_GB2312" w:cs="仿宋_GB2312"/>
          <w:i w:val="0"/>
          <w:caps w:val="0"/>
          <w:color w:val="000000"/>
          <w:spacing w:val="0"/>
          <w:kern w:val="0"/>
          <w:sz w:val="32"/>
          <w:szCs w:val="32"/>
          <w:highlight w:val="none"/>
          <w:lang w:val="en-US" w:eastAsia="zh-CN" w:bidi="ar"/>
        </w:rPr>
        <w:t>（三）按规范开展固体废物分类收集、贮存、处理和处置，建立固体废物管理台账，加强全过程规范化管理。一般工业固体废物贮存执行《一般工业固体废物贮存和填埋污染控制标准》（GB18599-2020）要求。危险废物贮存执行《危险废物贮存污染控制标准》（GB18597-2023）要求，转移管理执行《危险废物转移管理办法》（部令第23号）相关规定。</w:t>
      </w:r>
    </w:p>
    <w:p w14:paraId="6FDF0869">
      <w:pPr>
        <w:keepNext w:val="0"/>
        <w:keepLines w:val="0"/>
        <w:pageBreakBefore w:val="0"/>
        <w:widowControl/>
        <w:kinsoku/>
        <w:overflowPunct/>
        <w:topLinePunct w:val="0"/>
        <w:autoSpaceDE/>
        <w:autoSpaceDN/>
        <w:bidi w:val="0"/>
        <w:adjustRightInd/>
        <w:spacing w:beforeAutospacing="0" w:after="0" w:afterAutospacing="0" w:line="54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highlight w:val="none"/>
        </w:rPr>
      </w:pPr>
      <w:r>
        <w:rPr>
          <w:rFonts w:hint="eastAsia" w:ascii="仿宋_GB2312" w:hAnsi="仿宋_GB2312" w:eastAsia="仿宋_GB2312" w:cs="仿宋_GB2312"/>
          <w:i w:val="0"/>
          <w:caps w:val="0"/>
          <w:color w:val="000000"/>
          <w:spacing w:val="0"/>
          <w:kern w:val="0"/>
          <w:sz w:val="32"/>
          <w:szCs w:val="32"/>
          <w:highlight w:val="none"/>
          <w:lang w:val="en-US" w:eastAsia="zh-CN" w:bidi="ar"/>
        </w:rPr>
        <w:t>（四）环境风险防范。强化环境风险防范和应急措施，及时修编企业突发生态环境事件应急预案并报福州市连江生态环境局备案，储备足够的生态环境应急物资和应急装备，定期开展环境应急演练，并与地方政府建立应急联动机制，有效防范和应对环境风险，确保厂区周边环境安全。</w:t>
      </w:r>
    </w:p>
    <w:p w14:paraId="44BF5220">
      <w:pPr>
        <w:keepNext w:val="0"/>
        <w:keepLines w:val="0"/>
        <w:pageBreakBefore w:val="0"/>
        <w:widowControl/>
        <w:numPr>
          <w:ilvl w:val="0"/>
          <w:numId w:val="0"/>
        </w:numPr>
        <w:kinsoku/>
        <w:overflowPunct/>
        <w:topLinePunct w:val="0"/>
        <w:autoSpaceDE/>
        <w:autoSpaceDN/>
        <w:bidi w:val="0"/>
        <w:adjustRightInd/>
        <w:snapToGrid w:val="0"/>
        <w:spacing w:beforeAutospacing="0" w:after="0" w:afterAutospacing="0" w:line="540" w:lineRule="exact"/>
        <w:ind w:right="0" w:firstLine="640" w:firstLineChars="200"/>
        <w:textAlignment w:val="auto"/>
        <w:rPr>
          <w:rFonts w:hint="eastAsia" w:ascii="仿宋_GB2312" w:hAnsi="仿宋_GB2312" w:eastAsia="仿宋_GB2312" w:cs="仿宋_GB2312"/>
          <w:i w:val="0"/>
          <w:caps w:val="0"/>
          <w:color w:val="000000"/>
          <w:spacing w:val="0"/>
          <w:sz w:val="32"/>
          <w:szCs w:val="32"/>
          <w:highlight w:val="none"/>
        </w:rPr>
      </w:pPr>
      <w:r>
        <w:rPr>
          <w:rFonts w:hint="eastAsia" w:ascii="仿宋_GB2312" w:hAnsi="仿宋_GB2312" w:eastAsia="仿宋_GB2312" w:cs="仿宋_GB2312"/>
          <w:i w:val="0"/>
          <w:caps w:val="0"/>
          <w:color w:val="000000"/>
          <w:spacing w:val="0"/>
          <w:sz w:val="32"/>
          <w:szCs w:val="32"/>
          <w:highlight w:val="none"/>
        </w:rPr>
        <w:t>三、</w:t>
      </w:r>
      <w:r>
        <w:rPr>
          <w:rFonts w:hint="eastAsia" w:ascii="仿宋_GB2312" w:hAnsi="仿宋_GB2312" w:eastAsia="仿宋_GB2312" w:cs="仿宋_GB2312"/>
          <w:i w:val="0"/>
          <w:caps w:val="0"/>
          <w:color w:val="000000"/>
          <w:spacing w:val="0"/>
          <w:sz w:val="32"/>
          <w:szCs w:val="32"/>
          <w:highlight w:val="none"/>
          <w:lang w:eastAsia="zh-CN"/>
        </w:rPr>
        <w:t>本项目投产后新增主要污染物允许排放量：挥发性有机物（VOCs）≤0.0</w:t>
      </w:r>
      <w:r>
        <w:rPr>
          <w:rFonts w:hint="eastAsia" w:ascii="仿宋_GB2312" w:hAnsi="仿宋_GB2312" w:eastAsia="仿宋_GB2312" w:cs="仿宋_GB2312"/>
          <w:i w:val="0"/>
          <w:caps w:val="0"/>
          <w:color w:val="000000"/>
          <w:spacing w:val="0"/>
          <w:sz w:val="32"/>
          <w:szCs w:val="32"/>
          <w:highlight w:val="none"/>
          <w:lang w:val="en-US" w:eastAsia="zh-CN"/>
        </w:rPr>
        <w:t>28</w:t>
      </w:r>
      <w:r>
        <w:rPr>
          <w:rFonts w:hint="eastAsia" w:ascii="仿宋_GB2312" w:hAnsi="仿宋_GB2312" w:eastAsia="仿宋_GB2312" w:cs="仿宋_GB2312"/>
          <w:i w:val="0"/>
          <w:caps w:val="0"/>
          <w:color w:val="000000"/>
          <w:spacing w:val="0"/>
          <w:sz w:val="32"/>
          <w:szCs w:val="32"/>
          <w:highlight w:val="none"/>
          <w:lang w:eastAsia="zh-CN"/>
        </w:rPr>
        <w:t>吨/年，二氧化硫≤0.030吨/年，氮氧化物≤0.454吨/年，</w:t>
      </w:r>
      <w:r>
        <w:rPr>
          <w:rFonts w:hint="eastAsia" w:ascii="仿宋_GB2312" w:hAnsi="仿宋_GB2312" w:eastAsia="仿宋_GB2312" w:cs="仿宋_GB2312"/>
          <w:i w:val="0"/>
          <w:caps w:val="0"/>
          <w:color w:val="000000"/>
          <w:spacing w:val="0"/>
          <w:sz w:val="32"/>
          <w:szCs w:val="32"/>
          <w:highlight w:val="none"/>
          <w:lang w:val="en-US" w:eastAsia="zh-CN"/>
        </w:rPr>
        <w:t>其中，</w:t>
      </w:r>
      <w:r>
        <w:rPr>
          <w:rFonts w:hint="eastAsia" w:ascii="仿宋_GB2312" w:hAnsi="仿宋_GB2312" w:eastAsia="仿宋_GB2312" w:cs="仿宋_GB2312"/>
          <w:i w:val="0"/>
          <w:caps w:val="0"/>
          <w:color w:val="000000"/>
          <w:spacing w:val="0"/>
          <w:sz w:val="32"/>
          <w:szCs w:val="32"/>
          <w:highlight w:val="none"/>
          <w:lang w:eastAsia="zh-CN"/>
        </w:rPr>
        <w:t>二氧化硫豁免购买排污权交易指标，挥发性有机物（VOCs）按1.2倍调剂，氮氧化物按1.0倍交易，所需排污权指标分别为：挥发性有机物（VOCs）0.0</w:t>
      </w:r>
      <w:r>
        <w:rPr>
          <w:rFonts w:hint="eastAsia" w:ascii="仿宋_GB2312" w:hAnsi="仿宋_GB2312" w:eastAsia="仿宋_GB2312" w:cs="仿宋_GB2312"/>
          <w:i w:val="0"/>
          <w:caps w:val="0"/>
          <w:color w:val="000000"/>
          <w:spacing w:val="0"/>
          <w:sz w:val="32"/>
          <w:szCs w:val="32"/>
          <w:highlight w:val="none"/>
          <w:lang w:val="en-US" w:eastAsia="zh-CN"/>
        </w:rPr>
        <w:t>336</w:t>
      </w:r>
      <w:r>
        <w:rPr>
          <w:rFonts w:hint="eastAsia" w:ascii="仿宋_GB2312" w:hAnsi="仿宋_GB2312" w:eastAsia="仿宋_GB2312" w:cs="仿宋_GB2312"/>
          <w:i w:val="0"/>
          <w:caps w:val="0"/>
          <w:color w:val="000000"/>
          <w:spacing w:val="0"/>
          <w:sz w:val="32"/>
          <w:szCs w:val="32"/>
          <w:highlight w:val="none"/>
          <w:lang w:eastAsia="zh-CN"/>
        </w:rPr>
        <w:t>吨/年，氮氧化物0.454吨/年。</w:t>
      </w:r>
      <w:r>
        <w:rPr>
          <w:rFonts w:hint="eastAsia" w:ascii="仿宋_GB2312" w:hAnsi="仿宋_GB2312" w:eastAsia="仿宋_GB2312" w:cs="仿宋_GB2312"/>
          <w:sz w:val="32"/>
          <w:szCs w:val="32"/>
          <w:highlight w:val="none"/>
          <w:lang w:val="en-US" w:eastAsia="zh-CN" w:bidi="ar"/>
        </w:rPr>
        <w:t>你司应按照相关规定，于项目投产前取得相关排污权指标，以及向生态环境部门申请VOCs区域倍量替代并取得VOCs总量指标。</w:t>
      </w:r>
    </w:p>
    <w:p w14:paraId="145DBCC9">
      <w:pPr>
        <w:pStyle w:val="8"/>
        <w:keepNext w:val="0"/>
        <w:keepLines w:val="0"/>
        <w:pageBreakBefore w:val="0"/>
        <w:widowControl/>
        <w:kinsoku/>
        <w:overflowPunct/>
        <w:topLinePunct w:val="0"/>
        <w:autoSpaceDE/>
        <w:autoSpaceDN/>
        <w:bidi w:val="0"/>
        <w:adjustRightInd/>
        <w:spacing w:beforeAutospacing="0" w:after="0" w:afterAutospacing="0" w:line="54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highlight w:val="none"/>
        </w:rPr>
      </w:pPr>
      <w:r>
        <w:rPr>
          <w:rFonts w:hint="eastAsia" w:ascii="仿宋_GB2312" w:hAnsi="仿宋_GB2312" w:eastAsia="仿宋_GB2312" w:cs="仿宋_GB2312"/>
          <w:i w:val="0"/>
          <w:caps w:val="0"/>
          <w:color w:val="000000"/>
          <w:spacing w:val="0"/>
          <w:sz w:val="32"/>
          <w:szCs w:val="32"/>
          <w:highlight w:val="none"/>
          <w:lang w:eastAsia="zh-CN"/>
        </w:rPr>
        <w:t>四、</w:t>
      </w:r>
      <w:r>
        <w:rPr>
          <w:rFonts w:hint="eastAsia" w:ascii="仿宋_GB2312" w:hAnsi="仿宋_GB2312" w:eastAsia="仿宋_GB2312" w:cs="仿宋_GB2312"/>
          <w:i w:val="0"/>
          <w:caps w:val="0"/>
          <w:color w:val="000000"/>
          <w:spacing w:val="0"/>
          <w:sz w:val="32"/>
          <w:szCs w:val="32"/>
          <w:highlight w:val="none"/>
        </w:rPr>
        <w:t>《报告表》批准后，如建设项目的性质、规模、地点、采用的生产工艺或者防治污染、防止生态破坏的措施发生重大变动的，应当依法重新报批项目环评。《报告表》自批准之日起满5年，项目方开工建设的，其环评应当依法报生态环境部门重新审核。</w:t>
      </w:r>
    </w:p>
    <w:p w14:paraId="515668FA">
      <w:pPr>
        <w:pStyle w:val="8"/>
        <w:keepNext w:val="0"/>
        <w:keepLines w:val="0"/>
        <w:pageBreakBefore w:val="0"/>
        <w:widowControl/>
        <w:kinsoku/>
        <w:overflowPunct/>
        <w:topLinePunct w:val="0"/>
        <w:autoSpaceDE/>
        <w:autoSpaceDN/>
        <w:bidi w:val="0"/>
        <w:adjustRightInd/>
        <w:spacing w:beforeAutospacing="0" w:after="0" w:afterAutospacing="0" w:line="54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highlight w:val="none"/>
        </w:rPr>
      </w:pPr>
      <w:r>
        <w:rPr>
          <w:rFonts w:hint="eastAsia" w:ascii="仿宋_GB2312" w:hAnsi="仿宋_GB2312" w:eastAsia="仿宋_GB2312" w:cs="仿宋_GB2312"/>
          <w:i w:val="0"/>
          <w:caps w:val="0"/>
          <w:color w:val="000000"/>
          <w:spacing w:val="0"/>
          <w:sz w:val="32"/>
          <w:szCs w:val="32"/>
          <w:highlight w:val="none"/>
          <w:lang w:eastAsia="zh-CN"/>
        </w:rPr>
        <w:t>五</w:t>
      </w:r>
      <w:r>
        <w:rPr>
          <w:rFonts w:hint="eastAsia" w:ascii="仿宋_GB2312" w:hAnsi="仿宋_GB2312" w:eastAsia="仿宋_GB2312" w:cs="仿宋_GB2312"/>
          <w:i w:val="0"/>
          <w:caps w:val="0"/>
          <w:color w:val="000000"/>
          <w:spacing w:val="0"/>
          <w:sz w:val="32"/>
          <w:szCs w:val="32"/>
          <w:highlight w:val="none"/>
        </w:rPr>
        <w:t>、项目</w:t>
      </w:r>
      <w:r>
        <w:rPr>
          <w:rFonts w:hint="eastAsia" w:ascii="仿宋_GB2312" w:hAnsi="仿宋_GB2312" w:eastAsia="仿宋_GB2312" w:cs="仿宋_GB2312"/>
          <w:i w:val="0"/>
          <w:caps w:val="0"/>
          <w:color w:val="000000"/>
          <w:spacing w:val="0"/>
          <w:sz w:val="32"/>
          <w:szCs w:val="32"/>
          <w:highlight w:val="none"/>
          <w:lang w:val="en-US" w:eastAsia="zh-CN"/>
        </w:rPr>
        <w:t>应</w:t>
      </w:r>
      <w:r>
        <w:rPr>
          <w:rFonts w:hint="eastAsia" w:ascii="仿宋_GB2312" w:hAnsi="仿宋_GB2312" w:eastAsia="仿宋_GB2312" w:cs="仿宋_GB2312"/>
          <w:i w:val="0"/>
          <w:caps w:val="0"/>
          <w:color w:val="000000"/>
          <w:spacing w:val="0"/>
          <w:sz w:val="32"/>
          <w:szCs w:val="32"/>
          <w:highlight w:val="none"/>
        </w:rPr>
        <w:t>严格执行环境保护</w:t>
      </w:r>
      <w:r>
        <w:rPr>
          <w:rFonts w:hint="eastAsia" w:ascii="仿宋_GB2312" w:hAnsi="仿宋_GB2312" w:eastAsia="仿宋_GB2312" w:cs="仿宋_GB2312"/>
          <w:i w:val="0"/>
          <w:caps w:val="0"/>
          <w:color w:val="000000"/>
          <w:spacing w:val="0"/>
          <w:sz w:val="32"/>
          <w:szCs w:val="32"/>
          <w:highlight w:val="none"/>
          <w:lang w:eastAsia="zh-CN"/>
        </w:rPr>
        <w:t>“</w:t>
      </w:r>
      <w:r>
        <w:rPr>
          <w:rFonts w:hint="eastAsia" w:ascii="仿宋_GB2312" w:hAnsi="仿宋_GB2312" w:eastAsia="仿宋_GB2312" w:cs="仿宋_GB2312"/>
          <w:i w:val="0"/>
          <w:caps w:val="0"/>
          <w:color w:val="000000"/>
          <w:spacing w:val="0"/>
          <w:sz w:val="32"/>
          <w:szCs w:val="32"/>
          <w:highlight w:val="none"/>
          <w:lang w:val="en-US" w:eastAsia="zh-CN"/>
        </w:rPr>
        <w:t>三同时</w:t>
      </w:r>
      <w:r>
        <w:rPr>
          <w:rFonts w:hint="eastAsia" w:ascii="仿宋_GB2312" w:hAnsi="仿宋_GB2312" w:eastAsia="仿宋_GB2312" w:cs="仿宋_GB2312"/>
          <w:i w:val="0"/>
          <w:caps w:val="0"/>
          <w:color w:val="000000"/>
          <w:spacing w:val="0"/>
          <w:sz w:val="32"/>
          <w:szCs w:val="32"/>
          <w:highlight w:val="none"/>
          <w:lang w:eastAsia="zh-CN"/>
        </w:rPr>
        <w:t>”</w:t>
      </w:r>
      <w:r>
        <w:rPr>
          <w:rFonts w:hint="eastAsia" w:ascii="仿宋_GB2312" w:hAnsi="仿宋_GB2312" w:eastAsia="仿宋_GB2312" w:cs="仿宋_GB2312"/>
          <w:i w:val="0"/>
          <w:caps w:val="0"/>
          <w:color w:val="000000"/>
          <w:spacing w:val="0"/>
          <w:sz w:val="32"/>
          <w:szCs w:val="32"/>
          <w:highlight w:val="none"/>
        </w:rPr>
        <w:t>制度，</w:t>
      </w:r>
      <w:r>
        <w:rPr>
          <w:rFonts w:hint="eastAsia" w:ascii="仿宋_GB2312" w:hAnsi="仿宋_GB2312" w:eastAsia="仿宋_GB2312" w:cs="仿宋_GB2312"/>
          <w:i w:val="0"/>
          <w:caps w:val="0"/>
          <w:color w:val="000000"/>
          <w:spacing w:val="0"/>
          <w:sz w:val="32"/>
          <w:szCs w:val="32"/>
          <w:highlight w:val="none"/>
          <w:lang w:val="en-US" w:eastAsia="zh-CN"/>
        </w:rPr>
        <w:t>在</w:t>
      </w:r>
      <w:r>
        <w:rPr>
          <w:rFonts w:hint="eastAsia" w:ascii="仿宋_GB2312" w:hAnsi="仿宋_GB2312" w:eastAsia="仿宋_GB2312" w:cs="仿宋_GB2312"/>
          <w:i w:val="0"/>
          <w:caps w:val="0"/>
          <w:color w:val="000000"/>
          <w:spacing w:val="0"/>
          <w:sz w:val="32"/>
          <w:szCs w:val="32"/>
          <w:highlight w:val="none"/>
          <w:lang w:eastAsia="zh-CN"/>
        </w:rPr>
        <w:t>投产</w:t>
      </w:r>
      <w:r>
        <w:rPr>
          <w:rFonts w:hint="eastAsia" w:ascii="仿宋_GB2312" w:hAnsi="仿宋_GB2312" w:eastAsia="仿宋_GB2312" w:cs="仿宋_GB2312"/>
          <w:i w:val="0"/>
          <w:caps w:val="0"/>
          <w:color w:val="000000"/>
          <w:spacing w:val="0"/>
          <w:sz w:val="32"/>
          <w:szCs w:val="32"/>
          <w:highlight w:val="none"/>
          <w:lang w:val="en-US" w:eastAsia="zh-CN"/>
        </w:rPr>
        <w:t>并产生实际排污行为前，你司应认真梳理并确认各项环境保护措施落实，依法落实排污许可制，</w:t>
      </w:r>
      <w:r>
        <w:rPr>
          <w:rFonts w:hint="eastAsia" w:ascii="仿宋_GB2312" w:hAnsi="仿宋_GB2312" w:eastAsia="仿宋_GB2312" w:cs="仿宋_GB2312"/>
          <w:i w:val="0"/>
          <w:caps w:val="0"/>
          <w:color w:val="000000"/>
          <w:spacing w:val="0"/>
          <w:sz w:val="32"/>
          <w:szCs w:val="32"/>
          <w:highlight w:val="none"/>
        </w:rPr>
        <w:t>竣工后应按规定程序实施竣工环境保护验收。</w:t>
      </w:r>
    </w:p>
    <w:p w14:paraId="4BFAFE15">
      <w:pPr>
        <w:pStyle w:val="8"/>
        <w:keepNext w:val="0"/>
        <w:keepLines w:val="0"/>
        <w:pageBreakBefore w:val="0"/>
        <w:widowControl/>
        <w:kinsoku/>
        <w:overflowPunct/>
        <w:topLinePunct w:val="0"/>
        <w:autoSpaceDE/>
        <w:autoSpaceDN/>
        <w:bidi w:val="0"/>
        <w:adjustRightInd/>
        <w:spacing w:beforeAutospacing="0" w:after="0" w:afterAutospacing="0" w:line="540" w:lineRule="exact"/>
        <w:ind w:right="0" w:firstLine="640" w:firstLineChars="200"/>
        <w:jc w:val="both"/>
        <w:textAlignment w:val="auto"/>
        <w:rPr>
          <w:rFonts w:hint="eastAsia" w:ascii="仿宋_GB2312" w:hAnsi="仿宋_GB2312" w:eastAsia="仿宋_GB2312" w:cs="仿宋_GB2312"/>
          <w:i w:val="0"/>
          <w:caps w:val="0"/>
          <w:color w:val="000000"/>
          <w:spacing w:val="0"/>
          <w:sz w:val="32"/>
          <w:szCs w:val="32"/>
        </w:rPr>
      </w:pPr>
      <w:r>
        <w:rPr>
          <w:rFonts w:hint="eastAsia" w:ascii="仿宋_GB2312" w:hAnsi="仿宋_GB2312" w:eastAsia="仿宋_GB2312" w:cs="仿宋_GB2312"/>
          <w:i w:val="0"/>
          <w:caps w:val="0"/>
          <w:color w:val="000000"/>
          <w:spacing w:val="0"/>
          <w:sz w:val="32"/>
          <w:szCs w:val="32"/>
          <w:highlight w:val="none"/>
          <w:lang w:eastAsia="zh-CN"/>
        </w:rPr>
        <w:t>六</w:t>
      </w:r>
      <w:r>
        <w:rPr>
          <w:rFonts w:hint="eastAsia" w:ascii="仿宋_GB2312" w:hAnsi="仿宋_GB2312" w:eastAsia="仿宋_GB2312" w:cs="仿宋_GB2312"/>
          <w:i w:val="0"/>
          <w:caps w:val="0"/>
          <w:color w:val="000000"/>
          <w:spacing w:val="0"/>
          <w:sz w:val="32"/>
          <w:szCs w:val="32"/>
          <w:highlight w:val="none"/>
        </w:rPr>
        <w:t>、我局委托福州市生态环境保护综合执法支队开展该项目环保</w:t>
      </w:r>
      <w:r>
        <w:rPr>
          <w:rFonts w:hint="eastAsia" w:ascii="仿宋_GB2312" w:hAnsi="仿宋_GB2312" w:eastAsia="仿宋_GB2312" w:cs="仿宋_GB2312"/>
          <w:i w:val="0"/>
          <w:caps w:val="0"/>
          <w:color w:val="000000"/>
          <w:spacing w:val="0"/>
          <w:sz w:val="32"/>
          <w:szCs w:val="32"/>
          <w:highlight w:val="none"/>
          <w:lang w:eastAsia="zh-CN"/>
        </w:rPr>
        <w:t>“</w:t>
      </w:r>
      <w:r>
        <w:rPr>
          <w:rFonts w:hint="eastAsia" w:ascii="仿宋_GB2312" w:hAnsi="仿宋_GB2312" w:eastAsia="仿宋_GB2312" w:cs="仿宋_GB2312"/>
          <w:i w:val="0"/>
          <w:caps w:val="0"/>
          <w:color w:val="000000"/>
          <w:spacing w:val="0"/>
          <w:sz w:val="32"/>
          <w:szCs w:val="32"/>
          <w:highlight w:val="none"/>
          <w:lang w:val="en-US" w:eastAsia="zh-CN"/>
        </w:rPr>
        <w:t>三同时</w:t>
      </w:r>
      <w:r>
        <w:rPr>
          <w:rFonts w:hint="eastAsia" w:ascii="仿宋_GB2312" w:hAnsi="仿宋_GB2312" w:eastAsia="仿宋_GB2312" w:cs="仿宋_GB2312"/>
          <w:i w:val="0"/>
          <w:caps w:val="0"/>
          <w:color w:val="000000"/>
          <w:spacing w:val="0"/>
          <w:sz w:val="32"/>
          <w:szCs w:val="32"/>
          <w:highlight w:val="none"/>
          <w:lang w:eastAsia="zh-CN"/>
        </w:rPr>
        <w:t>”</w:t>
      </w:r>
      <w:r>
        <w:rPr>
          <w:rFonts w:hint="eastAsia" w:ascii="仿宋_GB2312" w:hAnsi="仿宋_GB2312" w:eastAsia="仿宋_GB2312" w:cs="仿宋_GB2312"/>
          <w:i w:val="0"/>
          <w:caps w:val="0"/>
          <w:color w:val="000000"/>
          <w:spacing w:val="0"/>
          <w:sz w:val="32"/>
          <w:szCs w:val="32"/>
          <w:highlight w:val="none"/>
        </w:rPr>
        <w:t>监督检查，项目竣工</w:t>
      </w:r>
      <w:r>
        <w:rPr>
          <w:rFonts w:hint="eastAsia" w:ascii="仿宋_GB2312" w:hAnsi="仿宋_GB2312" w:eastAsia="仿宋_GB2312" w:cs="仿宋_GB2312"/>
          <w:i w:val="0"/>
          <w:caps w:val="0"/>
          <w:color w:val="000000"/>
          <w:spacing w:val="0"/>
          <w:sz w:val="32"/>
          <w:szCs w:val="32"/>
        </w:rPr>
        <w:t>后，由福州市</w:t>
      </w:r>
      <w:r>
        <w:rPr>
          <w:rFonts w:hint="eastAsia" w:ascii="仿宋_GB2312" w:hAnsi="仿宋_GB2312" w:eastAsia="仿宋_GB2312" w:cs="仿宋_GB2312"/>
          <w:i w:val="0"/>
          <w:caps w:val="0"/>
          <w:color w:val="000000"/>
          <w:spacing w:val="0"/>
          <w:sz w:val="32"/>
          <w:szCs w:val="32"/>
          <w:lang w:eastAsia="zh-CN"/>
        </w:rPr>
        <w:t>连江</w:t>
      </w:r>
      <w:r>
        <w:rPr>
          <w:rFonts w:hint="eastAsia" w:ascii="仿宋_GB2312" w:hAnsi="仿宋_GB2312" w:eastAsia="仿宋_GB2312" w:cs="仿宋_GB2312"/>
          <w:i w:val="0"/>
          <w:caps w:val="0"/>
          <w:color w:val="000000"/>
          <w:spacing w:val="0"/>
          <w:sz w:val="32"/>
          <w:szCs w:val="32"/>
        </w:rPr>
        <w:t>生态环境局负责该项目日常环保监督管理工作。</w:t>
      </w:r>
    </w:p>
    <w:p w14:paraId="5CFD1E39">
      <w:pPr>
        <w:pStyle w:val="8"/>
        <w:keepNext w:val="0"/>
        <w:keepLines w:val="0"/>
        <w:pageBreakBefore w:val="0"/>
        <w:widowControl/>
        <w:kinsoku/>
        <w:overflowPunct/>
        <w:topLinePunct w:val="0"/>
        <w:autoSpaceDE/>
        <w:autoSpaceDN/>
        <w:bidi w:val="0"/>
        <w:adjustRightInd/>
        <w:spacing w:beforeAutospacing="0" w:after="0" w:afterAutospacing="0" w:line="540" w:lineRule="exact"/>
        <w:ind w:left="0" w:right="0" w:firstLine="0"/>
        <w:jc w:val="both"/>
        <w:textAlignment w:val="auto"/>
        <w:rPr>
          <w:rFonts w:hint="default" w:ascii="-webkit-standard" w:hAnsi="-webkit-standard" w:eastAsia="-webkit-standard" w:cs="-webkit-standard"/>
          <w:i w:val="0"/>
          <w:caps w:val="0"/>
          <w:color w:val="000000"/>
          <w:spacing w:val="0"/>
          <w:sz w:val="32"/>
          <w:szCs w:val="32"/>
        </w:rPr>
      </w:pPr>
    </w:p>
    <w:p w14:paraId="1C07655C">
      <w:pPr>
        <w:pStyle w:val="8"/>
        <w:keepNext w:val="0"/>
        <w:keepLines w:val="0"/>
        <w:pageBreakBefore w:val="0"/>
        <w:widowControl/>
        <w:kinsoku/>
        <w:overflowPunct/>
        <w:topLinePunct w:val="0"/>
        <w:autoSpaceDE/>
        <w:autoSpaceDN/>
        <w:bidi w:val="0"/>
        <w:adjustRightInd/>
        <w:spacing w:beforeAutospacing="0" w:after="0" w:afterAutospacing="0" w:line="540" w:lineRule="exact"/>
        <w:ind w:left="0" w:right="630" w:firstLine="0"/>
        <w:jc w:val="right"/>
        <w:textAlignment w:val="auto"/>
        <w:rPr>
          <w:rFonts w:hint="default" w:ascii="仿宋_GB2312" w:hAnsi="-webkit-standard" w:eastAsia="仿宋_GB2312" w:cs="仿宋_GB2312"/>
          <w:i w:val="0"/>
          <w:caps w:val="0"/>
          <w:color w:val="000000"/>
          <w:spacing w:val="0"/>
          <w:sz w:val="32"/>
          <w:szCs w:val="32"/>
        </w:rPr>
      </w:pPr>
      <w:r>
        <w:rPr>
          <w:rFonts w:hint="default" w:ascii="仿宋_GB2312" w:hAnsi="-webkit-standard" w:eastAsia="仿宋_GB2312" w:cs="仿宋_GB2312"/>
          <w:i w:val="0"/>
          <w:caps w:val="0"/>
          <w:color w:val="000000"/>
          <w:spacing w:val="0"/>
          <w:sz w:val="32"/>
          <w:szCs w:val="32"/>
        </w:rPr>
        <w:t>福州市生态环境局</w:t>
      </w:r>
    </w:p>
    <w:p w14:paraId="118394EF">
      <w:pPr>
        <w:pStyle w:val="8"/>
        <w:keepNext w:val="0"/>
        <w:keepLines w:val="0"/>
        <w:pageBreakBefore w:val="0"/>
        <w:widowControl/>
        <w:kinsoku/>
        <w:overflowPunct/>
        <w:topLinePunct w:val="0"/>
        <w:autoSpaceDE/>
        <w:autoSpaceDN/>
        <w:bidi w:val="0"/>
        <w:adjustRightInd/>
        <w:spacing w:beforeAutospacing="0" w:after="0" w:afterAutospacing="0" w:line="540" w:lineRule="exact"/>
        <w:ind w:left="0" w:right="630" w:firstLine="0"/>
        <w:jc w:val="right"/>
        <w:textAlignment w:val="auto"/>
        <w:rPr>
          <w:rFonts w:hint="default" w:ascii="仿宋_GB2312" w:hAnsi="-webkit-standard" w:eastAsia="仿宋_GB2312" w:cs="仿宋_GB2312"/>
          <w:i w:val="0"/>
          <w:caps w:val="0"/>
          <w:color w:val="000000"/>
          <w:spacing w:val="0"/>
          <w:sz w:val="32"/>
          <w:szCs w:val="32"/>
        </w:rPr>
      </w:pPr>
      <w:r>
        <w:rPr>
          <w:rFonts w:hint="default" w:ascii="仿宋_GB2312" w:hAnsi="-webkit-standard" w:eastAsia="仿宋_GB2312" w:cs="仿宋_GB2312"/>
          <w:i w:val="0"/>
          <w:caps w:val="0"/>
          <w:color w:val="000000"/>
          <w:spacing w:val="0"/>
          <w:sz w:val="32"/>
          <w:szCs w:val="32"/>
        </w:rPr>
        <w:t>2026年</w:t>
      </w:r>
      <w:r>
        <w:rPr>
          <w:rFonts w:hint="eastAsia" w:ascii="仿宋_GB2312" w:hAnsi="-webkit-standard" w:eastAsia="仿宋_GB2312" w:cs="仿宋_GB2312"/>
          <w:i w:val="0"/>
          <w:caps w:val="0"/>
          <w:color w:val="000000"/>
          <w:spacing w:val="0"/>
          <w:sz w:val="32"/>
          <w:szCs w:val="32"/>
          <w:lang w:val="en-US" w:eastAsia="zh-CN"/>
        </w:rPr>
        <w:t>10</w:t>
      </w:r>
      <w:r>
        <w:rPr>
          <w:rFonts w:hint="default" w:ascii="仿宋_GB2312" w:hAnsi="-webkit-standard" w:eastAsia="仿宋_GB2312" w:cs="仿宋_GB2312"/>
          <w:i w:val="0"/>
          <w:caps w:val="0"/>
          <w:color w:val="000000"/>
          <w:spacing w:val="0"/>
          <w:sz w:val="32"/>
          <w:szCs w:val="32"/>
        </w:rPr>
        <w:t>月</w:t>
      </w:r>
      <w:r>
        <w:rPr>
          <w:rFonts w:hint="eastAsia" w:ascii="仿宋_GB2312" w:hAnsi="-webkit-standard" w:eastAsia="仿宋_GB2312" w:cs="仿宋_GB2312"/>
          <w:i w:val="0"/>
          <w:caps w:val="0"/>
          <w:color w:val="000000"/>
          <w:spacing w:val="0"/>
          <w:sz w:val="32"/>
          <w:szCs w:val="32"/>
          <w:lang w:val="en-US" w:eastAsia="zh-CN"/>
        </w:rPr>
        <w:t>19</w:t>
      </w:r>
      <w:r>
        <w:rPr>
          <w:rFonts w:hint="default" w:ascii="仿宋_GB2312" w:hAnsi="-webkit-standard" w:eastAsia="仿宋_GB2312" w:cs="仿宋_GB2312"/>
          <w:i w:val="0"/>
          <w:caps w:val="0"/>
          <w:color w:val="000000"/>
          <w:spacing w:val="0"/>
          <w:sz w:val="32"/>
          <w:szCs w:val="32"/>
        </w:rPr>
        <w:t>日</w:t>
      </w:r>
    </w:p>
    <w:p w14:paraId="7AB5634B">
      <w:pPr>
        <w:pStyle w:val="8"/>
        <w:keepNext w:val="0"/>
        <w:keepLines w:val="0"/>
        <w:pageBreakBefore w:val="0"/>
        <w:widowControl/>
        <w:kinsoku/>
        <w:overflowPunct/>
        <w:topLinePunct w:val="0"/>
        <w:autoSpaceDE/>
        <w:autoSpaceDN/>
        <w:bidi w:val="0"/>
        <w:adjustRightInd/>
        <w:spacing w:beforeAutospacing="0" w:after="0" w:afterAutospacing="0" w:line="540" w:lineRule="exact"/>
        <w:ind w:left="0" w:right="630" w:firstLine="0"/>
        <w:jc w:val="right"/>
        <w:textAlignment w:val="auto"/>
        <w:rPr>
          <w:rFonts w:hint="default" w:ascii="仿宋_GB2312" w:hAnsi="-webkit-standard" w:eastAsia="仿宋_GB2312" w:cs="仿宋_GB2312"/>
          <w:i w:val="0"/>
          <w:caps w:val="0"/>
          <w:color w:val="000000"/>
          <w:spacing w:val="0"/>
          <w:sz w:val="32"/>
          <w:szCs w:val="32"/>
        </w:rPr>
      </w:pPr>
      <w:bookmarkStart w:id="0" w:name="_GoBack"/>
      <w:bookmarkEnd w:id="0"/>
    </w:p>
    <w:p w14:paraId="2DB025C9">
      <w:pPr>
        <w:pStyle w:val="8"/>
        <w:keepNext w:val="0"/>
        <w:keepLines w:val="0"/>
        <w:pageBreakBefore w:val="0"/>
        <w:widowControl/>
        <w:kinsoku/>
        <w:overflowPunct/>
        <w:topLinePunct w:val="0"/>
        <w:autoSpaceDE/>
        <w:autoSpaceDN/>
        <w:bidi w:val="0"/>
        <w:adjustRightInd/>
        <w:spacing w:beforeAutospacing="0" w:after="0" w:afterAutospacing="0" w:line="540" w:lineRule="exact"/>
        <w:ind w:left="0" w:right="630" w:firstLine="0"/>
        <w:jc w:val="right"/>
        <w:textAlignment w:val="auto"/>
        <w:rPr>
          <w:rFonts w:hint="default" w:ascii="仿宋_GB2312" w:hAnsi="-webkit-standard" w:eastAsia="仿宋_GB2312" w:cs="仿宋_GB2312"/>
          <w:i w:val="0"/>
          <w:caps w:val="0"/>
          <w:color w:val="000000"/>
          <w:spacing w:val="0"/>
          <w:sz w:val="32"/>
          <w:szCs w:val="32"/>
        </w:rPr>
      </w:pPr>
    </w:p>
    <w:p w14:paraId="778EAB95">
      <w:pPr>
        <w:pStyle w:val="8"/>
        <w:keepNext w:val="0"/>
        <w:keepLines w:val="0"/>
        <w:pageBreakBefore w:val="0"/>
        <w:widowControl/>
        <w:kinsoku/>
        <w:overflowPunct/>
        <w:topLinePunct w:val="0"/>
        <w:autoSpaceDE/>
        <w:autoSpaceDN/>
        <w:bidi w:val="0"/>
        <w:adjustRightInd/>
        <w:spacing w:beforeAutospacing="0" w:after="0" w:afterAutospacing="0" w:line="540" w:lineRule="exact"/>
        <w:ind w:left="0" w:right="630" w:firstLine="0"/>
        <w:jc w:val="right"/>
        <w:textAlignment w:val="auto"/>
        <w:rPr>
          <w:rFonts w:hint="default" w:ascii="仿宋_GB2312" w:hAnsi="-webkit-standard" w:eastAsia="仿宋_GB2312" w:cs="仿宋_GB2312"/>
          <w:i w:val="0"/>
          <w:caps w:val="0"/>
          <w:color w:val="000000"/>
          <w:spacing w:val="0"/>
          <w:sz w:val="32"/>
          <w:szCs w:val="32"/>
        </w:rPr>
      </w:pPr>
    </w:p>
    <w:tbl>
      <w:tblPr>
        <w:tblStyle w:val="10"/>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780"/>
        <w:gridCol w:w="3675"/>
      </w:tblGrid>
      <w:tr w14:paraId="200D3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260" w:type="dxa"/>
            <w:tcBorders>
              <w:top w:val="single" w:color="auto" w:sz="4" w:space="0"/>
              <w:left w:val="nil"/>
              <w:bottom w:val="single" w:color="auto" w:sz="4" w:space="0"/>
              <w:right w:val="nil"/>
            </w:tcBorders>
            <w:noWrap w:val="0"/>
            <w:vAlign w:val="center"/>
          </w:tcPr>
          <w:p w14:paraId="4AB17D6C">
            <w:pPr>
              <w:keepNext w:val="0"/>
              <w:keepLines w:val="0"/>
              <w:pageBreakBefore w:val="0"/>
              <w:widowControl w:val="0"/>
              <w:tabs>
                <w:tab w:val="left" w:pos="3885"/>
              </w:tabs>
              <w:kinsoku/>
              <w:overflowPunct/>
              <w:topLinePunct w:val="0"/>
              <w:autoSpaceDE/>
              <w:autoSpaceDN/>
              <w:bidi w:val="0"/>
              <w:adjustRightInd/>
              <w:snapToGrid/>
              <w:spacing w:beforeAutospacing="0" w:afterAutospacing="0" w:line="480" w:lineRule="exact"/>
              <w:ind w:left="0" w:leftChars="0" w:firstLine="179" w:firstLineChars="64"/>
              <w:textAlignment w:val="auto"/>
              <w:outlineLvl w:val="9"/>
              <w:rPr>
                <w:rFonts w:ascii="仿宋_GB2312" w:eastAsia="仿宋_GB2312"/>
                <w:color w:val="auto"/>
                <w:sz w:val="28"/>
                <w:szCs w:val="28"/>
                <w:highlight w:val="none"/>
              </w:rPr>
            </w:pPr>
            <w:r>
              <w:rPr>
                <w:rFonts w:hint="eastAsia" w:ascii="仿宋_GB2312" w:hAnsi="仿宋" w:eastAsia="仿宋_GB2312"/>
                <w:sz w:val="28"/>
                <w:szCs w:val="28"/>
                <w:highlight w:val="none"/>
              </w:rPr>
              <w:t>抄送：</w:t>
            </w:r>
          </w:p>
        </w:tc>
        <w:tc>
          <w:tcPr>
            <w:tcW w:w="7455" w:type="dxa"/>
            <w:gridSpan w:val="2"/>
            <w:tcBorders>
              <w:top w:val="single" w:color="auto" w:sz="4" w:space="0"/>
              <w:left w:val="nil"/>
              <w:bottom w:val="single" w:color="auto" w:sz="4" w:space="0"/>
              <w:right w:val="nil"/>
            </w:tcBorders>
            <w:noWrap w:val="0"/>
            <w:vAlign w:val="center"/>
          </w:tcPr>
          <w:p w14:paraId="66A77E97">
            <w:pPr>
              <w:keepNext w:val="0"/>
              <w:keepLines w:val="0"/>
              <w:pageBreakBefore w:val="0"/>
              <w:widowControl w:val="0"/>
              <w:tabs>
                <w:tab w:val="left" w:pos="3885"/>
              </w:tabs>
              <w:kinsoku/>
              <w:wordWrap/>
              <w:overflowPunct/>
              <w:topLinePunct w:val="0"/>
              <w:autoSpaceDE/>
              <w:autoSpaceDN/>
              <w:bidi w:val="0"/>
              <w:adjustRightInd/>
              <w:snapToGrid/>
              <w:spacing w:beforeAutospacing="0" w:afterAutospacing="0" w:line="480" w:lineRule="exact"/>
              <w:ind w:left="0" w:leftChars="0"/>
              <w:textAlignment w:val="auto"/>
              <w:outlineLvl w:val="9"/>
              <w:rPr>
                <w:rFonts w:hint="eastAsia" w:ascii="仿宋_GB2312" w:eastAsia="仿宋_GB2312"/>
                <w:color w:val="auto"/>
                <w:sz w:val="28"/>
                <w:szCs w:val="28"/>
                <w:highlight w:val="none"/>
                <w:lang w:eastAsia="zh-CN"/>
              </w:rPr>
            </w:pPr>
            <w:r>
              <w:rPr>
                <w:rFonts w:hint="eastAsia" w:ascii="仿宋_GB2312" w:eastAsia="仿宋_GB2312"/>
                <w:color w:val="auto"/>
                <w:sz w:val="28"/>
                <w:szCs w:val="28"/>
                <w:highlight w:val="none"/>
                <w:lang w:eastAsia="zh-CN"/>
              </w:rPr>
              <w:t>局大气环境处、福州市生态环境保护综合执法支队，福州市连江生态环境局，福建中森亚环保科技有限公司</w:t>
            </w:r>
          </w:p>
        </w:tc>
      </w:tr>
      <w:tr w14:paraId="2C2F6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040" w:type="dxa"/>
            <w:gridSpan w:val="2"/>
            <w:tcBorders>
              <w:top w:val="single" w:color="auto" w:sz="4" w:space="0"/>
              <w:left w:val="nil"/>
              <w:bottom w:val="single" w:color="auto" w:sz="4" w:space="0"/>
              <w:right w:val="nil"/>
            </w:tcBorders>
            <w:noWrap w:val="0"/>
            <w:vAlign w:val="center"/>
          </w:tcPr>
          <w:p w14:paraId="348F8AEA">
            <w:pPr>
              <w:keepNext w:val="0"/>
              <w:keepLines w:val="0"/>
              <w:pageBreakBefore w:val="0"/>
              <w:widowControl w:val="0"/>
              <w:tabs>
                <w:tab w:val="left" w:pos="3885"/>
              </w:tabs>
              <w:kinsoku/>
              <w:overflowPunct/>
              <w:topLinePunct w:val="0"/>
              <w:autoSpaceDE/>
              <w:autoSpaceDN/>
              <w:bidi w:val="0"/>
              <w:adjustRightInd/>
              <w:snapToGrid/>
              <w:spacing w:beforeAutospacing="0" w:afterAutospacing="0" w:line="480" w:lineRule="exact"/>
              <w:ind w:left="0" w:leftChars="0" w:firstLine="179" w:firstLineChars="64"/>
              <w:textAlignment w:val="auto"/>
              <w:outlineLvl w:val="9"/>
              <w:rPr>
                <w:rFonts w:eastAsia="仿宋_GB2312"/>
                <w:color w:val="auto"/>
                <w:sz w:val="28"/>
                <w:szCs w:val="28"/>
                <w:highlight w:val="none"/>
              </w:rPr>
            </w:pPr>
            <w:r>
              <w:rPr>
                <w:rFonts w:hint="eastAsia" w:ascii="仿宋_GB2312" w:eastAsia="仿宋_GB2312"/>
                <w:color w:val="auto"/>
                <w:sz w:val="28"/>
                <w:szCs w:val="28"/>
                <w:highlight w:val="none"/>
              </w:rPr>
              <w:t>福州市</w:t>
            </w:r>
            <w:r>
              <w:rPr>
                <w:rFonts w:hint="eastAsia" w:ascii="仿宋_GB2312" w:eastAsia="仿宋_GB2312"/>
                <w:color w:val="auto"/>
                <w:sz w:val="28"/>
                <w:szCs w:val="28"/>
                <w:highlight w:val="none"/>
                <w:lang w:eastAsia="zh-CN"/>
              </w:rPr>
              <w:t>生态环境</w:t>
            </w:r>
            <w:r>
              <w:rPr>
                <w:rFonts w:hint="eastAsia" w:ascii="仿宋_GB2312" w:eastAsia="仿宋_GB2312"/>
                <w:color w:val="auto"/>
                <w:sz w:val="28"/>
                <w:szCs w:val="28"/>
                <w:highlight w:val="none"/>
              </w:rPr>
              <w:t>局</w:t>
            </w:r>
          </w:p>
        </w:tc>
        <w:tc>
          <w:tcPr>
            <w:tcW w:w="3675" w:type="dxa"/>
            <w:tcBorders>
              <w:top w:val="single" w:color="auto" w:sz="4" w:space="0"/>
              <w:left w:val="nil"/>
              <w:bottom w:val="single" w:color="auto" w:sz="4" w:space="0"/>
              <w:right w:val="nil"/>
            </w:tcBorders>
            <w:noWrap w:val="0"/>
            <w:vAlign w:val="center"/>
          </w:tcPr>
          <w:p w14:paraId="3FD0E7C5">
            <w:pPr>
              <w:keepNext w:val="0"/>
              <w:keepLines w:val="0"/>
              <w:pageBreakBefore w:val="0"/>
              <w:widowControl w:val="0"/>
              <w:tabs>
                <w:tab w:val="left" w:pos="3882"/>
                <w:tab w:val="left" w:pos="3987"/>
              </w:tabs>
              <w:kinsoku/>
              <w:wordWrap w:val="0"/>
              <w:overflowPunct/>
              <w:topLinePunct w:val="0"/>
              <w:autoSpaceDE/>
              <w:autoSpaceDN/>
              <w:bidi w:val="0"/>
              <w:adjustRightInd/>
              <w:snapToGrid/>
              <w:spacing w:beforeAutospacing="0" w:afterAutospacing="0" w:line="480" w:lineRule="exact"/>
              <w:ind w:left="0" w:leftChars="0" w:right="311" w:rightChars="148"/>
              <w:jc w:val="right"/>
              <w:textAlignment w:val="auto"/>
              <w:outlineLvl w:val="9"/>
              <w:rPr>
                <w:rFonts w:eastAsia="仿宋_GB2312"/>
                <w:color w:val="auto"/>
                <w:sz w:val="28"/>
                <w:szCs w:val="28"/>
                <w:highlight w:val="none"/>
              </w:rPr>
            </w:pPr>
            <w:r>
              <w:rPr>
                <w:rFonts w:hint="eastAsia" w:ascii="仿宋_GB2312" w:eastAsia="仿宋_GB2312"/>
                <w:color w:val="auto"/>
                <w:sz w:val="28"/>
                <w:szCs w:val="28"/>
                <w:highlight w:val="none"/>
                <w:lang w:eastAsia="zh-CN"/>
              </w:rPr>
              <w:t>2026年10月19日印发</w:t>
            </w:r>
          </w:p>
        </w:tc>
      </w:tr>
    </w:tbl>
    <w:p w14:paraId="2887B9AF">
      <w:pPr>
        <w:rPr>
          <w:rFonts w:hint="eastAsia"/>
          <w:lang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webkit-standar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C626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1DF4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A1DF4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B075D"/>
    <w:rsid w:val="07F4584C"/>
    <w:rsid w:val="08084A87"/>
    <w:rsid w:val="09424AD8"/>
    <w:rsid w:val="26E62BEE"/>
    <w:rsid w:val="2737603D"/>
    <w:rsid w:val="2DCC2C44"/>
    <w:rsid w:val="3A220795"/>
    <w:rsid w:val="4E1965C1"/>
    <w:rsid w:val="618136D7"/>
    <w:rsid w:val="661959E1"/>
    <w:rsid w:val="6E1C3EEE"/>
    <w:rsid w:val="71B608C6"/>
    <w:rsid w:val="756B19C7"/>
    <w:rsid w:val="7DDA520A"/>
    <w:rsid w:val="7E514C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next w:val="5"/>
    <w:unhideWhenUsed/>
    <w:qFormat/>
    <w:uiPriority w:val="0"/>
    <w:pPr>
      <w:spacing w:after="120"/>
      <w:ind w:left="420" w:leftChars="200"/>
    </w:pPr>
  </w:style>
  <w:style w:type="paragraph" w:customStyle="1" w:styleId="5">
    <w:name w:val="样式 正文文本缩进 + 行距: 1.5 倍行距"/>
    <w:basedOn w:val="1"/>
    <w:qFormat/>
    <w:uiPriority w:val="0"/>
    <w:pPr>
      <w:spacing w:after="120"/>
      <w:ind w:left="90" w:leftChars="32" w:firstLine="560"/>
    </w:pPr>
    <w:rPr>
      <w:rFonts w:cs="宋体"/>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 w:type="paragraph" w:styleId="9">
    <w:name w:val="Body Text First Indent 2"/>
    <w:basedOn w:val="4"/>
    <w:next w:val="1"/>
    <w:qFormat/>
    <w:uiPriority w:val="0"/>
    <w:pPr>
      <w:spacing w:after="0" w:line="420" w:lineRule="exact"/>
      <w:ind w:left="0" w:leftChars="0" w:firstLine="420"/>
    </w:pPr>
    <w:rPr>
      <w:rFonts w:ascii="仿宋_GB2312" w:eastAsia="Times New Roman"/>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1927</Words>
  <Characters>2084</Characters>
  <Lines>0</Lines>
  <Paragraphs>0</Paragraphs>
  <TotalTime>0</TotalTime>
  <ScaleCrop>false</ScaleCrop>
  <LinksUpToDate>false</LinksUpToDate>
  <CharactersWithSpaces>2089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2026-09-28T14:00:00Z</dcterms:created>
  <dc:creator>iPad</dc:creator>
  <cp:lastModifiedBy>月见函灯</cp:lastModifiedBy>
  <dcterms:modified xsi:type="dcterms:W3CDTF">2026-10-19T03:09:09Z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0BD5EBDE3EC44371BD8D9FAFCE123357_13</vt:lpwstr>
  </property>
  <property fmtid="{D5CDD505-2E9C-101B-9397-08002B2CF9AE}" pid="4" name="KSOTemplateDocerSaveRecord">
    <vt:lpwstr>eyJoZGlkIjoiMDkxNDM5NTI3YTI2MzU0NTA3MzliODM2N2FlYTc2NjYiLCJ1c2VySWQiOiI0MjM3NjMwNzUifQ==</vt:lpwstr>
  </property>
</Properties>
</file>