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999999"/>
          <w:spacing w:val="0"/>
          <w:sz w:val="21"/>
          <w:szCs w:val="21"/>
        </w:rPr>
      </w:pPr>
      <w:r>
        <w:rPr>
          <w:rFonts w:hint="eastAsia"/>
          <w:b/>
          <w:i w:val="0"/>
          <w:caps w:val="0"/>
          <w:color w:val="333333"/>
          <w:spacing w:val="0"/>
          <w:sz w:val="48"/>
          <w:szCs w:val="48"/>
          <w:shd w:val="clear" w:fill="FFFFFF"/>
        </w:rPr>
        <w:t>福州市公安局关于印发《福州城区电动自行车实行回收更新管理》的通知</w:t>
      </w:r>
      <w:bookmarkStart w:id="0" w:name="_GoBack"/>
      <w:bookmarkEnd w:id="0"/>
      <w:r>
        <w:rPr>
          <w:rFonts w:hint="eastAsia"/>
          <w:b/>
          <w:i w:val="0"/>
          <w:caps w:val="0"/>
          <w:color w:val="333333"/>
          <w:spacing w:val="0"/>
          <w:sz w:val="48"/>
          <w:szCs w:val="48"/>
          <w:shd w:val="clear" w:fill="FFFFFF"/>
          <w:lang w:val="en-US" w:eastAsia="zh-CN"/>
        </w:rPr>
        <w:t xml:space="preserve">     </w:t>
      </w:r>
      <w:r>
        <w:rPr>
          <w:rFonts w:hint="eastAsia" w:ascii="微软雅黑" w:hAnsi="微软雅黑" w:eastAsia="微软雅黑" w:cs="微软雅黑"/>
          <w:i w:val="0"/>
          <w:caps w:val="0"/>
          <w:color w:val="999999"/>
          <w:spacing w:val="0"/>
          <w:kern w:val="0"/>
          <w:sz w:val="21"/>
          <w:szCs w:val="21"/>
          <w:shd w:val="clear" w:fill="FFFFFF"/>
          <w:lang w:val="en-US" w:eastAsia="zh-CN" w:bidi="ar"/>
        </w:rPr>
        <w:t>日期：2023-06-26 17:43 来源：公安局 浏览量：2466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E0E0E0"/>
          <w:spacing w:val="0"/>
          <w:sz w:val="22"/>
          <w:szCs w:val="22"/>
        </w:rPr>
      </w:pPr>
      <w:r>
        <w:rPr>
          <w:rFonts w:ascii="iconfont" w:hAnsi="iconfont" w:eastAsia="iconfont" w:cs="iconfont"/>
          <w:i w:val="0"/>
          <w:caps w:val="0"/>
          <w:color w:val="B2B2B2"/>
          <w:spacing w:val="0"/>
          <w:kern w:val="0"/>
          <w:sz w:val="42"/>
          <w:szCs w:val="42"/>
          <w:shd w:val="clear" w:fill="FFFFFF"/>
          <w:lang w:val="en-US" w:eastAsia="zh-CN" w:bidi="ar"/>
        </w:rPr>
        <w:t></w:t>
      </w:r>
      <w:r>
        <w:rPr>
          <w:rStyle w:val="8"/>
          <w:rFonts w:hint="eastAsia" w:ascii="微软雅黑" w:hAnsi="微软雅黑" w:eastAsia="微软雅黑" w:cs="微软雅黑"/>
          <w:i w:val="0"/>
          <w:caps w:val="0"/>
          <w:color w:val="E0E0E0"/>
          <w:spacing w:val="0"/>
          <w:kern w:val="0"/>
          <w:sz w:val="22"/>
          <w:szCs w:val="22"/>
          <w:shd w:val="clear" w:fill="FFFFFF"/>
          <w:lang w:val="en-US" w:eastAsia="zh-CN" w:bidi="ar"/>
        </w:rPr>
        <w:t>|</w:t>
      </w:r>
      <w:r>
        <w:rPr>
          <w:rFonts w:hint="default" w:ascii="iconfont" w:hAnsi="iconfont" w:eastAsia="iconfont" w:cs="iconfont"/>
          <w:i w:val="0"/>
          <w:caps w:val="0"/>
          <w:color w:val="B2B2B2"/>
          <w:spacing w:val="0"/>
          <w:kern w:val="0"/>
          <w:sz w:val="42"/>
          <w:szCs w:val="42"/>
          <w:shd w:val="clear" w:fill="FFFFFF"/>
          <w:lang w:val="en-US" w:eastAsia="zh-CN" w:bidi="ar"/>
        </w:rPr>
        <w:t></w:t>
      </w:r>
      <w:r>
        <w:rPr>
          <w:rStyle w:val="8"/>
          <w:rFonts w:hint="eastAsia" w:ascii="微软雅黑" w:hAnsi="微软雅黑" w:eastAsia="微软雅黑" w:cs="微软雅黑"/>
          <w:i w:val="0"/>
          <w:caps w:val="0"/>
          <w:color w:val="E0E0E0"/>
          <w:spacing w:val="0"/>
          <w:kern w:val="0"/>
          <w:sz w:val="22"/>
          <w:szCs w:val="22"/>
          <w:shd w:val="clear" w:fill="FFFFFF"/>
          <w:lang w:val="en-US" w:eastAsia="zh-CN" w:bidi="ar"/>
        </w:rPr>
        <w:t>|</w:t>
      </w:r>
      <w:r>
        <w:rPr>
          <w:rFonts w:hint="default" w:ascii="iconfont" w:hAnsi="iconfont" w:eastAsia="iconfont" w:cs="iconfont"/>
          <w:i w:val="0"/>
          <w:caps w:val="0"/>
          <w:color w:val="B2B2B2"/>
          <w:spacing w:val="0"/>
          <w:kern w:val="0"/>
          <w:sz w:val="30"/>
          <w:szCs w:val="30"/>
          <w:shd w:val="clear" w:fill="FFFFFF"/>
          <w:lang w:val="en-US" w:eastAsia="zh-CN" w:bidi="ar"/>
        </w:rPr>
        <w:t></w:t>
      </w:r>
      <w:r>
        <w:rPr>
          <w:rStyle w:val="8"/>
          <w:rFonts w:hint="eastAsia" w:ascii="微软雅黑" w:hAnsi="微软雅黑" w:eastAsia="微软雅黑" w:cs="微软雅黑"/>
          <w:i w:val="0"/>
          <w:caps w:val="0"/>
          <w:color w:val="E0E0E0"/>
          <w:spacing w:val="0"/>
          <w:kern w:val="0"/>
          <w:sz w:val="22"/>
          <w:szCs w:val="22"/>
          <w:shd w:val="clear" w:fill="FFFFFF"/>
          <w:lang w:val="en-US" w:eastAsia="zh-CN" w:bidi="ar"/>
        </w:rPr>
        <w:t>|</w:t>
      </w:r>
      <w:r>
        <w:rPr>
          <w:rFonts w:hint="default" w:ascii="iconfont" w:hAnsi="iconfont" w:eastAsia="iconfont" w:cs="iconfont"/>
          <w:i w:val="0"/>
          <w:caps w:val="0"/>
          <w:color w:val="B2B2B2"/>
          <w:spacing w:val="0"/>
          <w:kern w:val="0"/>
          <w:sz w:val="30"/>
          <w:szCs w:val="30"/>
          <w:shd w:val="clear" w:fill="FFFFFF"/>
          <w:lang w:val="en-US" w:eastAsia="zh-CN" w:bidi="ar"/>
        </w:rPr>
        <w:t></w:t>
      </w:r>
      <w:r>
        <w:rPr>
          <w:rStyle w:val="8"/>
          <w:rFonts w:hint="eastAsia" w:ascii="微软雅黑" w:hAnsi="微软雅黑" w:eastAsia="微软雅黑" w:cs="微软雅黑"/>
          <w:i w:val="0"/>
          <w:caps w:val="0"/>
          <w:color w:val="E0E0E0"/>
          <w:spacing w:val="0"/>
          <w:kern w:val="0"/>
          <w:sz w:val="22"/>
          <w:szCs w:val="22"/>
          <w:shd w:val="clear" w:fill="FFFFFF"/>
          <w:lang w:val="en-US" w:eastAsia="zh-CN" w:bidi="ar"/>
        </w:rPr>
        <w:t>|</w:t>
      </w:r>
      <w:r>
        <w:rPr>
          <w:rFonts w:hint="default" w:ascii="iconfont" w:hAnsi="iconfont" w:eastAsia="iconfont" w:cs="iconfont"/>
          <w:i w:val="0"/>
          <w:caps w:val="0"/>
          <w:color w:val="B2B2B2"/>
          <w:spacing w:val="0"/>
          <w:kern w:val="0"/>
          <w:sz w:val="30"/>
          <w:szCs w:val="30"/>
          <w:shd w:val="clear" w:fill="FFFFFF"/>
          <w:lang w:val="en-US" w:eastAsia="zh-CN" w:bidi="ar"/>
        </w:rPr>
        <w:t></w:t>
      </w:r>
    </w:p>
    <w:p>
      <w:pPr>
        <w:keepNext w:val="0"/>
        <w:keepLines w:val="0"/>
        <w:widowControl/>
        <w:suppressLineNumbers w:val="0"/>
        <w:pBdr>
          <w:top w:val="none" w:color="CFDEEF" w:sz="6" w:space="0"/>
          <w:left w:val="none" w:color="CFDEEF" w:sz="6" w:space="0"/>
          <w:bottom w:val="none" w:color="CFDEEF" w:sz="6" w:space="0"/>
          <w:right w:val="none" w:color="CFDEEF" w:sz="6" w:space="0"/>
        </w:pBdr>
        <w:shd w:val="clear" w:fill="F7F9FC"/>
        <w:spacing w:before="0" w:beforeAutospacing="0" w:after="0" w:afterAutospacing="0" w:line="60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1658A0"/>
          <w:spacing w:val="0"/>
          <w:kern w:val="0"/>
          <w:sz w:val="27"/>
          <w:szCs w:val="27"/>
          <w:shd w:val="clear" w:fill="F7F9FC"/>
          <w:lang w:val="en-US" w:eastAsia="zh-CN" w:bidi="ar"/>
        </w:rPr>
        <w:t>政策文件：</w:t>
      </w:r>
      <w:r>
        <w:rPr>
          <w:rFonts w:hint="eastAsia" w:ascii="微软雅黑" w:hAnsi="微软雅黑" w:eastAsia="微软雅黑" w:cs="微软雅黑"/>
          <w:i w:val="0"/>
          <w:caps w:val="0"/>
          <w:color w:val="333333"/>
          <w:spacing w:val="0"/>
          <w:kern w:val="0"/>
          <w:sz w:val="27"/>
          <w:szCs w:val="27"/>
          <w:shd w:val="clear" w:fill="F7F9FC"/>
          <w:lang w:val="en-US" w:eastAsia="zh-CN" w:bidi="ar"/>
        </w:rPr>
        <w:t> </w:t>
      </w:r>
      <w:r>
        <w:rPr>
          <w:rFonts w:hint="eastAsia" w:ascii="微软雅黑" w:hAnsi="微软雅黑" w:eastAsia="微软雅黑" w:cs="微软雅黑"/>
          <w:i w:val="0"/>
          <w:caps w:val="0"/>
          <w:color w:val="333333"/>
          <w:spacing w:val="0"/>
          <w:kern w:val="0"/>
          <w:sz w:val="27"/>
          <w:szCs w:val="27"/>
          <w:u w:val="none"/>
          <w:shd w:val="clear" w:fill="F7F9FC"/>
          <w:lang w:val="en-US" w:eastAsia="zh-CN" w:bidi="ar"/>
        </w:rPr>
        <w:fldChar w:fldCharType="begin"/>
      </w:r>
      <w:r>
        <w:rPr>
          <w:rFonts w:hint="eastAsia" w:ascii="微软雅黑" w:hAnsi="微软雅黑" w:eastAsia="微软雅黑" w:cs="微软雅黑"/>
          <w:i w:val="0"/>
          <w:caps w:val="0"/>
          <w:color w:val="333333"/>
          <w:spacing w:val="0"/>
          <w:kern w:val="0"/>
          <w:sz w:val="27"/>
          <w:szCs w:val="27"/>
          <w:u w:val="none"/>
          <w:shd w:val="clear" w:fill="F7F9FC"/>
          <w:lang w:val="en-US" w:eastAsia="zh-CN" w:bidi="ar"/>
        </w:rPr>
        <w:instrText xml:space="preserve"> HYPERLINK "http://gaj.fuzhou.gov.cn/zfxxgkzl/gkml/xzfggzhgfxwj/202306/t20230626_4627025.htm" \o "福州市公安局等七部门关于福州城区电动自行车实行回收更新管理的通告" \t "http://www.fuzhou.gov.cn/zcjd/bs/202306/_blank" </w:instrText>
      </w:r>
      <w:r>
        <w:rPr>
          <w:rFonts w:hint="eastAsia" w:ascii="微软雅黑" w:hAnsi="微软雅黑" w:eastAsia="微软雅黑" w:cs="微软雅黑"/>
          <w:i w:val="0"/>
          <w:caps w:val="0"/>
          <w:color w:val="333333"/>
          <w:spacing w:val="0"/>
          <w:kern w:val="0"/>
          <w:sz w:val="27"/>
          <w:szCs w:val="27"/>
          <w:u w:val="none"/>
          <w:shd w:val="clear" w:fill="F7F9FC"/>
          <w:lang w:val="en-US" w:eastAsia="zh-CN" w:bidi="ar"/>
        </w:rPr>
        <w:fldChar w:fldCharType="separate"/>
      </w:r>
      <w:r>
        <w:rPr>
          <w:rStyle w:val="9"/>
          <w:rFonts w:hint="eastAsia" w:ascii="微软雅黑" w:hAnsi="微软雅黑" w:eastAsia="微软雅黑" w:cs="微软雅黑"/>
          <w:i w:val="0"/>
          <w:caps w:val="0"/>
          <w:color w:val="333333"/>
          <w:spacing w:val="0"/>
          <w:sz w:val="27"/>
          <w:szCs w:val="27"/>
          <w:u w:val="none"/>
          <w:shd w:val="clear" w:fill="F7F9FC"/>
        </w:rPr>
        <w:t>福州市公安局等七部门关于福州城区电动自行车实行回收更新管理的通告</w:t>
      </w:r>
      <w:r>
        <w:rPr>
          <w:rFonts w:hint="eastAsia" w:ascii="微软雅黑" w:hAnsi="微软雅黑" w:eastAsia="微软雅黑" w:cs="微软雅黑"/>
          <w:i w:val="0"/>
          <w:caps w:val="0"/>
          <w:color w:val="333333"/>
          <w:spacing w:val="0"/>
          <w:kern w:val="0"/>
          <w:sz w:val="27"/>
          <w:szCs w:val="27"/>
          <w:u w:val="none"/>
          <w:shd w:val="clear" w:fill="F7F9FC"/>
          <w:lang w:val="en-US" w:eastAsia="zh-CN" w:bidi="ar"/>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一、福州城区电动自行车实行回收更新管理的目的意义？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答：深入贯彻创新、协调、绿色、开放、共享的发展理念，按照《市场监管总局 工业和信息化部 公安部关于加强电动自行车国家标准实施监督的意见》（国市监标创〔2019〕53号）精神，结合我市城区电动自行车赋码数字化综合管理工作实际，健全完善电动自行车回收更新工作机制，促进旧国标和老旧车辆更新淘汰，引导车辆蓄电池规范高效回收利用，推动我市电动自行车综合管理工作高质量、可持续发展，增强人民群众获得感、幸福感、安全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二、回收更新的适用对象和范围？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答：根据《福州市电动自行车管理办法》、《福州城区电动自行车号牌管理办法》等有关规定，回收更新适用于鼓楼区、台江区、仓山区、晋安区、马尾区范围的黄色号牌电动自行车。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 、如何办理车辆回收？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答：需更新黄色号牌电动自行车的，可以到回收网点办理，将整车交售给有资质的再生资源回收企业。回收企业名单及其回收网点具体地址，市民可以登录e福州APP“电动车赋码”平台进行查询。由车主本人办理的，需携带身份证明、电动自行车行驶证；由亲属或他人代办的，应携带双方身份证原件及委托书。电动自行车行驶证缺失的，可出示电子行驶证，申领途径如下：车主本人登录e福州APP“交警服务-电动自行车业务办理-已上牌车业务申请-申领电子行驶证。车辆回收时要有车架编号、蓄电池、电机等主要部件，并取得再生资源回收企业出具的《电动自行车回收回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四、车辆回收后，如何办理注销原黄色号牌？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答：在办理黄色号牌电动自行车回收时，由回收企业通过e福州APP “电动车赋码”平台上传回收的车辆信息，车辆信息系统自动比对。比对无误的，提交原黄色号牌注销登记申请，信息回传车管所，线上办理注销登记。原号牌由再生资源回收企业回收车辆时一并收回。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五、原黄色号牌注销后，如何办理新车上牌？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答：黄色号牌电动自行车办理回收和注销后，车主自动获得新车登记黄牌资格。车主购买电动自行车，持身份证明、购车发票、整车出厂合格证等申请资料即可申请办理新车登记上牌，具体办理途径可登录e福州APP“交警服务-电动自行车业务办理”线上办理，也可到市政务服务中心、车辆管理所等电动自行车窗口线下办理，线下办理的应交验车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六、黄色号牌电动自行车回收更新后办理新车上牌完整流程？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答：①交售回收旧车→②取得回收回执→③申请注销旧车→④办理新车上牌。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七、如何查询回收网点？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答：扫此二维码可以查看回收网点具体信息。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fldChar w:fldCharType="begin"/>
      </w:r>
      <w:r>
        <w:rPr>
          <w:rFonts w:hint="eastAsia" w:ascii="宋体" w:hAnsi="宋体" w:eastAsia="宋体" w:cs="宋体"/>
          <w:i w:val="0"/>
          <w:caps w:val="0"/>
          <w:color w:val="333333"/>
          <w:spacing w:val="0"/>
          <w:sz w:val="24"/>
          <w:szCs w:val="24"/>
          <w:shd w:val="clear" w:fill="FFFFFF"/>
        </w:rPr>
        <w:instrText xml:space="preserve">INCLUDEPICTURE \d "http://www.fuzhou.gov.cn/zcjd/bs/202306/W020230626648449083008.png" \* MERGEFORMATINET </w:instrText>
      </w:r>
      <w:r>
        <w:rPr>
          <w:rFonts w:hint="eastAsia" w:ascii="宋体" w:hAnsi="宋体" w:eastAsia="宋体" w:cs="宋体"/>
          <w:i w:val="0"/>
          <w:caps w:val="0"/>
          <w:color w:val="333333"/>
          <w:spacing w:val="0"/>
          <w:sz w:val="24"/>
          <w:szCs w:val="24"/>
          <w:shd w:val="clear" w:fill="FFFFFF"/>
        </w:rPr>
        <w:fldChar w:fldCharType="separate"/>
      </w:r>
      <w:r>
        <w:rPr>
          <w:rFonts w:hint="eastAsia" w:ascii="宋体" w:hAnsi="宋体" w:eastAsia="宋体" w:cs="宋体"/>
          <w:i w:val="0"/>
          <w:caps w:val="0"/>
          <w:color w:val="333333"/>
          <w:spacing w:val="0"/>
          <w:sz w:val="24"/>
          <w:szCs w:val="24"/>
          <w:shd w:val="clear" w:fill="FFFFFF"/>
        </w:rPr>
        <w:drawing>
          <wp:inline distT="0" distB="0" distL="114300" distR="114300">
            <wp:extent cx="5715000" cy="32194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15000" cy="3219450"/>
                    </a:xfrm>
                    <a:prstGeom prst="rect">
                      <a:avLst/>
                    </a:prstGeom>
                    <a:noFill/>
                    <a:ln w="9525">
                      <a:noFill/>
                    </a:ln>
                  </pic:spPr>
                </pic:pic>
              </a:graphicData>
            </a:graphic>
          </wp:inline>
        </w:drawing>
      </w:r>
      <w:r>
        <w:rPr>
          <w:rFonts w:hint="eastAsia" w:ascii="宋体" w:hAnsi="宋体" w:eastAsia="宋体" w:cs="宋体"/>
          <w:i w:val="0"/>
          <w:caps w:val="0"/>
          <w:color w:val="333333"/>
          <w:spacing w:val="0"/>
          <w:sz w:val="24"/>
          <w:szCs w:val="24"/>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八、什么时候开始施行？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答：自2023年7月3日起施行，有效期五年。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1A0D4FAE"/>
    <w:rsid w:val="249F6CCD"/>
    <w:rsid w:val="2A4A6FC7"/>
    <w:rsid w:val="3E8311CB"/>
    <w:rsid w:val="4AFF25EF"/>
    <w:rsid w:val="626A1C2E"/>
    <w:rsid w:val="71DA700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NTKO</cp:lastModifiedBy>
  <dcterms:modified xsi:type="dcterms:W3CDTF">2023-09-19T06:08:34Z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121149E98CC14E9EB984B06C78AAE7A2</vt:lpwstr>
  </property>
</Properties>
</file>