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ascii="楷体_GB2312" w:hAnsi="楷体_GB2312" w:eastAsia="楷体_GB2312" w:cs="楷体_GB2312"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福州市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人民政府关于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企业上市“榕腾计划”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实施意见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》政策解读</w:t>
      </w:r>
    </w:p>
    <w:p/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N/>
        <w:bidi w:val="0"/>
        <w:spacing w:line="60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日前，福州市人民政府印发《福州市人民政府关于支持企业上市“榕腾计划”的实施意见》（以下简称《榕腾计划》），现就《榕腾计划》有关内容解读如下：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起草背景和过程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为贯彻落实党中央、国务院关于资本市场改革发展的决策部署，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把握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改革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发展机遇，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加大上市政策扶持力度，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根据提升上市公司质量的导向，按照后备企业培育→区域股权交易市场→“新三板”挂牌→境内外上市→再融资的整体脉络，分层次、分阶段予以企业相应扶持。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2021年9月3日，北京证券交易所（简称北交所）注册成立。全国中小企业股份转让系统有限责任公司（“新三板”）精选层挂牌公司整体平移至北交所，挂牌公司的属性转变为上市公司（此后“新三板”精选层取消）。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根据以上新政策，我局对《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榕腾计划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》相关条款进行了完善和修订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topLinePunct w:val="0"/>
        <w:autoSpaceDN/>
        <w:bidi w:val="0"/>
        <w:spacing w:line="60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内容及特点</w:t>
      </w:r>
    </w:p>
    <w:p>
      <w:pPr>
        <w:keepNext w:val="0"/>
        <w:keepLines w:val="0"/>
        <w:pageBreakBefore w:val="0"/>
        <w:kinsoku/>
        <w:topLinePunct w:val="0"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市级及各县（市）区财政每年从部门预算中安排资金，专项用于扶持企业改制上市挂牌，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扶持对象原则上为除房地产、金融行业以外并列入市重点上市后备企业名单的企业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符合条件的上市公司及股权投资管理机构：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（一）鼓励企业股份制改制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1.股改费用补助。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证券公司、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会计师事务所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律师事务所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任一中介机构，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改制辅导等相关挂牌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上市服务协议并完成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股份制改制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的，给予补助30万元。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2.规费减免。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对企业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股份制改制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过程中涉及的相关部门规费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在权限范围内给予减免或按最低标准收取。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）鼓励企业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/>
        </w:rPr>
        <w:t>在“新三板”和区域性股权交易市场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挂牌融资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</w:rPr>
        <w:t>“新三板”挂牌奖励。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企业进入全国中小企业股份转让系统（“新三板”）创新层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挂牌的，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奖励80万元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color w:val="auto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32"/>
          <w:szCs w:val="32"/>
        </w:rPr>
        <w:t>区域性股权交易市场挂牌奖励。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企业在海峡股权交易中心交易层挂牌的，奖励50万元。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挂牌贡献奖励。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val="en-US" w:eastAsia="zh-CN"/>
        </w:rPr>
        <w:t>企业在“新三板”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创新层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val="en-US" w:eastAsia="zh-CN"/>
        </w:rPr>
        <w:t>、海峡股权交易中心交易层挂牌当年，按当年度比上年度对地方贡献新增部分的50%给予奖励，奖励金额最高不超过500万元。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）鼓励企业上市融资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1.境内上市奖励。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上海、深圳、北京证券交易所（以下简称沪、深、北交易所）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申请上市的企业，经福建证监局辅导备案的，奖励100万元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（其中“新三板”创新层挂牌企业申请转板沪、深、北交易所上市，获福建证监局辅导备案的，在挂牌奖励的基础上，补足至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企业取得中国证监会关于首次公开发行股票注册批复文件的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，奖励200万元。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境外上市奖励。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以本市企业为上市主体直接在境外上市或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营运总部在本市以存在控制关系的境外公司实现间接上市，以招股说明书为依据，50%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以上实际募集资金投资我市且折人民币1亿元以上的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（采用首发上市日的当期汇率换算）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，奖励200万元。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3.上市贡献奖励。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在福建证监局辅导备案当年起至企业上市之年（最长不超过3年），按当年度比基数年度（基数年度是指上年度、辅导备案上年度或上次享受上市贡献奖励年度地方贡献最高者）对地方贡献新增部分的50%给予奖励，每年奖励金额最高不超过1000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</w:rPr>
        <w:t>（四）再融资奖励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上市公司通过增发、配股以及发行可转债等股权方式实现再融资，且实际募集资金50%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以上投资于我市的，募集金额1亿元（含）～5亿元的，奖励50万元；金额5亿元（含）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的，奖励100万元。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</w:rPr>
        <w:t>（五）上市公司引进奖励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对市域外境内上市公司注册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地迁入我市，以及我市企业在境内通过资产重组形式实现上市且注册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地迁入我市，按上市公司注册地迁入当年扣除非经常性损益的净利润3000万元以下、3000万元（含）～1亿元、1亿元（含）～2亿元、2亿元（含）以上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分档给予上市公司奖励200万元、300万元、500万元、1000万元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  <w:lang w:eastAsia="zh-CN"/>
        </w:rPr>
        <w:t>，企业应承诺若在十年内迁出我市，则需返还奖励资金。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bidi w:val="0"/>
        <w:adjustRightInd w:val="0"/>
        <w:snapToGrid w:val="0"/>
        <w:spacing w:line="540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</w:rPr>
        <w:t>（六）引导股权投资基金重点投资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bidi w:val="0"/>
        <w:adjustRightInd w:val="0"/>
        <w:snapToGrid w:val="0"/>
        <w:spacing w:line="540" w:lineRule="exact"/>
        <w:ind w:left="0" w:leftChars="0" w:right="0" w:rightChars="0" w:firstLine="616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经中国证券投资基金业协会备案的私募股权投资基金、创业投资基金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  <w:lang w:eastAsia="zh-CN"/>
        </w:rPr>
        <w:t>新增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投资我市产业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政策扶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持且与基金非关联的市重点上市后备企业，累计投资金额超过2000万元的，对其管理机构（需在我市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  <w:lang w:eastAsia="zh-CN"/>
        </w:rPr>
        <w:t>注册登记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）按实际投资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  <w:lang w:eastAsia="zh-CN"/>
        </w:rPr>
        <w:t>额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的0.5%予以奖励，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  <w:lang w:eastAsia="zh-CN"/>
        </w:rPr>
        <w:t>同一管理机构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奖励金额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  <w:lang w:eastAsia="zh-CN"/>
        </w:rPr>
        <w:t>累计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最高不超过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  <w:lang w:val="en-US" w:eastAsia="zh-CN"/>
        </w:rPr>
        <w:t>1</w:t>
      </w:r>
      <w:r>
        <w:rPr>
          <w:rFonts w:hint="eastAsia" w:ascii="仿宋_GB2312" w:hAnsi="方正仿宋_GBK" w:eastAsia="仿宋_GB2312" w:cstheme="minorBidi"/>
          <w:bCs/>
          <w:color w:val="auto"/>
          <w:kern w:val="36"/>
          <w:sz w:val="32"/>
          <w:szCs w:val="32"/>
        </w:rPr>
        <w:t>00万元。</w:t>
      </w:r>
    </w:p>
    <w:p>
      <w:pPr>
        <w:keepNext w:val="0"/>
        <w:keepLines w:val="0"/>
        <w:pageBreakBefore w:val="0"/>
        <w:kinsoku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20310"/>
    <w:multiLevelType w:val="singleLevel"/>
    <w:tmpl w:val="60C203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3BD2"/>
    <w:rsid w:val="073259A1"/>
    <w:rsid w:val="0C3F4634"/>
    <w:rsid w:val="0E5A25B3"/>
    <w:rsid w:val="0FC67DAF"/>
    <w:rsid w:val="119107AC"/>
    <w:rsid w:val="11AE21E8"/>
    <w:rsid w:val="1362628D"/>
    <w:rsid w:val="144620F4"/>
    <w:rsid w:val="14840A8C"/>
    <w:rsid w:val="163E7D87"/>
    <w:rsid w:val="1DA04611"/>
    <w:rsid w:val="1E223BD2"/>
    <w:rsid w:val="23A347B5"/>
    <w:rsid w:val="26066557"/>
    <w:rsid w:val="2771390F"/>
    <w:rsid w:val="30A21D2C"/>
    <w:rsid w:val="31C41207"/>
    <w:rsid w:val="3A6B2126"/>
    <w:rsid w:val="3FB35A92"/>
    <w:rsid w:val="40656B30"/>
    <w:rsid w:val="40C0460A"/>
    <w:rsid w:val="46CC18B5"/>
    <w:rsid w:val="48671E7E"/>
    <w:rsid w:val="4ECD0EBC"/>
    <w:rsid w:val="506A5E79"/>
    <w:rsid w:val="50891159"/>
    <w:rsid w:val="5B672167"/>
    <w:rsid w:val="5DA56DED"/>
    <w:rsid w:val="6362780E"/>
    <w:rsid w:val="6AB90D8C"/>
    <w:rsid w:val="6D287566"/>
    <w:rsid w:val="755C18AA"/>
    <w:rsid w:val="79A40866"/>
    <w:rsid w:val="7A413233"/>
    <w:rsid w:val="7EAF13CB"/>
    <w:rsid w:val="7F5BB643"/>
    <w:rsid w:val="7FD00C40"/>
    <w:rsid w:val="F6653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widowControl w:val="0"/>
      <w:jc w:val="both"/>
    </w:pPr>
    <w:rPr>
      <w:rFonts w:ascii="仿宋_GB2312" w:hAnsi="Arial" w:eastAsia="Times New Roman" w:cs="Times New Roman"/>
      <w:color w:val="333333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  <w:jc w:val="both"/>
    </w:pPr>
    <w:rPr>
      <w:rFonts w:ascii="Calibri" w:hAnsi="Calibri" w:cs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2021-06-15T17:17:00Z</dcterms:created>
  <dc:creator>0</dc:creator>
  <cp:lastModifiedBy>uos</cp:lastModifiedBy>
  <cp:lastPrinted>2022-12-05T14:55:25Z</cp:lastPrinted>
  <dcterms:modified xsi:type="dcterms:W3CDTF">2022-12-05T15:03:03Z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