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仿宋" w:hAnsi="仿宋" w:eastAsia="方正仿宋"/>
          <w:sz w:val="32"/>
          <w:szCs w:val="32"/>
          <w:lang w:val="en-US" w:eastAsia="zh-CN"/>
        </w:rPr>
      </w:pPr>
      <w:r>
        <w:rPr>
          <w:rFonts w:hint="eastAsia" w:ascii="方正仿宋" w:hAnsi="仿宋" w:eastAsia="方正仿宋"/>
          <w:sz w:val="32"/>
          <w:szCs w:val="32"/>
          <w:lang w:eastAsia="zh-CN"/>
        </w:rPr>
        <w:t>附件</w:t>
      </w:r>
      <w:r>
        <w:rPr>
          <w:rFonts w:hint="eastAsia" w:ascii="方正仿宋" w:hAnsi="仿宋" w:eastAsia="方正仿宋"/>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项目申报指南</w:t>
      </w:r>
    </w:p>
    <w:p>
      <w:pPr>
        <w:spacing w:beforeLines="0" w:afterLines="0" w:line="560" w:lineRule="exact"/>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一、市级支持光电产业规模化发展专项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2"/>
        <w:rPr>
          <w:rFonts w:hint="eastAsia" w:ascii="仿宋_GB2312" w:eastAsia="仿宋_GB2312"/>
          <w:sz w:val="32"/>
          <w:szCs w:val="32"/>
        </w:rPr>
      </w:pPr>
      <w:r>
        <w:rPr>
          <w:rFonts w:hint="eastAsia" w:ascii="仿宋_GB2312" w:eastAsia="仿宋_GB2312"/>
          <w:b/>
          <w:bCs/>
          <w:sz w:val="32"/>
          <w:szCs w:val="32"/>
        </w:rPr>
        <w:t>1.申报条件：</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rPr>
          <w:rFonts w:hint="eastAsia" w:ascii="仿宋_GB2312" w:eastAsia="仿宋_GB2312"/>
          <w:sz w:val="32"/>
          <w:szCs w:val="32"/>
        </w:rPr>
      </w:pPr>
      <w:r>
        <w:rPr>
          <w:rFonts w:hint="eastAsia" w:ascii="仿宋_GB2312"/>
          <w:color w:val="000000"/>
          <w:szCs w:val="32"/>
          <w:lang w:val="en-US" w:eastAsia="zh-CN"/>
        </w:rPr>
        <w:t>2018-2020，3个年度内</w:t>
      </w:r>
      <w:r>
        <w:rPr>
          <w:rFonts w:hint="eastAsia" w:ascii="仿宋_GB2312"/>
          <w:color w:val="000000"/>
          <w:szCs w:val="32"/>
          <w:lang w:eastAsia="zh-CN"/>
        </w:rPr>
        <w:t>主营业务收入首次超</w:t>
      </w:r>
      <w:r>
        <w:rPr>
          <w:rFonts w:hint="eastAsia" w:ascii="仿宋_GB2312"/>
          <w:color w:val="000000"/>
          <w:szCs w:val="32"/>
          <w:lang w:val="en-US" w:eastAsia="zh-CN"/>
        </w:rPr>
        <w:t>100亿元、50亿元、10亿元、5亿元的光电企业</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2"/>
        <w:rPr>
          <w:rFonts w:hint="eastAsia" w:ascii="仿宋_GB2312" w:eastAsia="仿宋_GB2312"/>
          <w:sz w:val="32"/>
          <w:szCs w:val="32"/>
        </w:rPr>
      </w:pPr>
      <w:r>
        <w:rPr>
          <w:rFonts w:hint="eastAsia" w:ascii="仿宋_GB2312" w:eastAsia="仿宋_GB2312"/>
          <w:b/>
          <w:bCs/>
          <w:sz w:val="32"/>
          <w:szCs w:val="32"/>
        </w:rPr>
        <w:t>2.奖励标准：</w:t>
      </w:r>
      <w:r>
        <w:rPr>
          <w:rFonts w:hint="eastAsia" w:ascii="仿宋_GB2312" w:eastAsia="仿宋_GB2312"/>
          <w:sz w:val="32"/>
          <w:szCs w:val="32"/>
        </w:rPr>
        <w:t xml:space="preserve"> </w:t>
      </w:r>
    </w:p>
    <w:p>
      <w:pPr>
        <w:spacing w:line="600" w:lineRule="exact"/>
        <w:ind w:firstLine="603" w:firstLineChars="196"/>
        <w:rPr>
          <w:rFonts w:hint="eastAsia" w:ascii="仿宋_GB2312"/>
          <w:color w:val="000000"/>
          <w:szCs w:val="32"/>
        </w:rPr>
      </w:pPr>
      <w:r>
        <w:rPr>
          <w:rFonts w:hint="eastAsia" w:ascii="仿宋_GB2312"/>
          <w:color w:val="000000"/>
          <w:szCs w:val="32"/>
          <w:lang w:eastAsia="zh-CN"/>
        </w:rPr>
        <w:t>对主营业务收入首次超</w:t>
      </w:r>
      <w:r>
        <w:rPr>
          <w:rFonts w:hint="eastAsia" w:ascii="仿宋_GB2312"/>
          <w:color w:val="000000"/>
          <w:szCs w:val="32"/>
          <w:lang w:val="en-US" w:eastAsia="zh-CN"/>
        </w:rPr>
        <w:t>100亿元、50亿元、10亿元、5亿元的光电企业，分别给予300万元、150万元、100万元、50万元的一次性奖励</w:t>
      </w:r>
      <w:r>
        <w:rPr>
          <w:rFonts w:hint="eastAsia" w:ascii="仿宋_GB2312"/>
          <w:color w:val="000000"/>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 xml:space="preserve">3.申报材料： </w:t>
      </w:r>
    </w:p>
    <w:p>
      <w:pPr>
        <w:pStyle w:val="4"/>
        <w:keepNext w:val="0"/>
        <w:keepLines w:val="0"/>
        <w:pageBreakBefore w:val="0"/>
        <w:widowControl w:val="0"/>
        <w:kinsoku/>
        <w:autoSpaceDE/>
        <w:autoSpaceDN/>
        <w:bidi w:val="0"/>
        <w:snapToGrid/>
        <w:spacing w:line="600" w:lineRule="exact"/>
        <w:ind w:right="0" w:rightChars="0"/>
        <w:textAlignment w:val="baseline"/>
        <w:outlineLvl w:val="9"/>
        <w:rPr>
          <w:rFonts w:hint="eastAsia" w:ascii="仿宋_GB2312" w:hAnsi="仿宋_GB2312" w:eastAsia="仿宋_GB2312" w:cs="仿宋_GB2312"/>
          <w:sz w:val="32"/>
          <w:szCs w:val="32"/>
        </w:rPr>
      </w:pPr>
      <w:r>
        <w:rPr>
          <w:rFonts w:hint="eastAsia" w:hAnsi="仿宋_GB2312" w:cs="仿宋_GB2312"/>
          <w:sz w:val="32"/>
          <w:szCs w:val="32"/>
          <w:lang w:eastAsia="zh-CN"/>
        </w:rPr>
        <w:t>（</w:t>
      </w:r>
      <w:r>
        <w:rPr>
          <w:rFonts w:hint="eastAsia" w:hAnsi="仿宋_GB2312" w:cs="仿宋_GB2312"/>
          <w:sz w:val="32"/>
          <w:szCs w:val="32"/>
          <w:lang w:val="en-US" w:eastAsia="zh-CN"/>
        </w:rPr>
        <w:t>1</w:t>
      </w:r>
      <w:r>
        <w:rPr>
          <w:rFonts w:hint="eastAsia" w:hAnsi="仿宋_GB2312" w:cs="仿宋_GB2312"/>
          <w:sz w:val="32"/>
          <w:szCs w:val="32"/>
          <w:lang w:eastAsia="zh-CN"/>
        </w:rPr>
        <w:t>）</w:t>
      </w:r>
      <w:r>
        <w:rPr>
          <w:rFonts w:hint="eastAsia" w:hAnsi="仿宋_GB2312" w:cs="仿宋_GB2312"/>
          <w:sz w:val="32"/>
          <w:szCs w:val="32"/>
          <w:lang w:val="en-US" w:eastAsia="zh-CN"/>
        </w:rPr>
        <w:t>2018-2020</w:t>
      </w:r>
      <w:r>
        <w:rPr>
          <w:rFonts w:hint="eastAsia" w:hAnsi="仿宋_GB2312" w:cs="仿宋_GB2312"/>
          <w:sz w:val="32"/>
          <w:szCs w:val="32"/>
          <w:lang w:eastAsia="zh-CN"/>
        </w:rPr>
        <w:t>，</w:t>
      </w:r>
      <w:r>
        <w:rPr>
          <w:rFonts w:hint="eastAsia" w:hAnsi="仿宋_GB2312" w:cs="仿宋_GB2312"/>
          <w:sz w:val="32"/>
          <w:szCs w:val="32"/>
          <w:lang w:val="en-US" w:eastAsia="zh-CN"/>
        </w:rPr>
        <w:t>3个年度经报备防伪的审计报告（若企业成立时间不足3年的，从成立年度起提供）</w:t>
      </w:r>
      <w:r>
        <w:rPr>
          <w:rFonts w:hint="eastAsia" w:ascii="仿宋_GB2312" w:hAnsi="仿宋_GB2312" w:eastAsia="仿宋_GB2312" w:cs="仿宋_GB2312"/>
          <w:sz w:val="32"/>
          <w:szCs w:val="32"/>
        </w:rPr>
        <w:t>；</w:t>
      </w:r>
    </w:p>
    <w:p>
      <w:pPr>
        <w:pStyle w:val="4"/>
        <w:keepNext w:val="0"/>
        <w:keepLines w:val="0"/>
        <w:pageBreakBefore w:val="0"/>
        <w:widowControl w:val="0"/>
        <w:kinsoku/>
        <w:autoSpaceDE/>
        <w:autoSpaceDN/>
        <w:bidi w:val="0"/>
        <w:snapToGrid/>
        <w:spacing w:line="600" w:lineRule="exact"/>
        <w:ind w:left="0" w:leftChars="0" w:right="0" w:rightChars="0" w:firstLine="616" w:firstLineChars="200"/>
        <w:textAlignment w:val="baseline"/>
        <w:outlineLvl w:val="9"/>
        <w:rPr>
          <w:rFonts w:hint="eastAsia" w:hAnsi="仿宋_GB2312" w:cs="仿宋_GB2312"/>
          <w:sz w:val="32"/>
          <w:szCs w:val="32"/>
          <w:lang w:val="en-US" w:eastAsia="zh-CN"/>
        </w:rPr>
      </w:pPr>
      <w:r>
        <w:rPr>
          <w:rFonts w:hint="eastAsia" w:hAnsi="仿宋_GB2312" w:cs="仿宋_GB2312"/>
          <w:sz w:val="32"/>
          <w:szCs w:val="32"/>
          <w:lang w:val="en-US" w:eastAsia="zh-CN"/>
        </w:rPr>
        <w:t>（2）2018-2020</w:t>
      </w:r>
      <w:r>
        <w:rPr>
          <w:rFonts w:hint="eastAsia" w:hAnsi="仿宋_GB2312" w:cs="仿宋_GB2312"/>
          <w:sz w:val="32"/>
          <w:szCs w:val="32"/>
          <w:lang w:eastAsia="zh-CN"/>
        </w:rPr>
        <w:t>，</w:t>
      </w:r>
      <w:r>
        <w:rPr>
          <w:rFonts w:hint="eastAsia" w:hAnsi="仿宋_GB2312" w:cs="仿宋_GB2312"/>
          <w:sz w:val="32"/>
          <w:szCs w:val="32"/>
          <w:lang w:val="en-US" w:eastAsia="zh-CN"/>
        </w:rPr>
        <w:t>3个年度末经税务部门盖章的增值税纳税申报表（若企业成立时间不足3年的，从成立年度起提供）；</w:t>
      </w:r>
    </w:p>
    <w:p>
      <w:pPr>
        <w:pStyle w:val="4"/>
        <w:keepNext w:val="0"/>
        <w:keepLines w:val="0"/>
        <w:pageBreakBefore w:val="0"/>
        <w:widowControl w:val="0"/>
        <w:kinsoku/>
        <w:autoSpaceDE/>
        <w:autoSpaceDN/>
        <w:bidi w:val="0"/>
        <w:snapToGrid/>
        <w:spacing w:line="600" w:lineRule="exact"/>
        <w:ind w:left="0" w:leftChars="0" w:right="0" w:rightChars="0" w:firstLine="616" w:firstLineChars="200"/>
        <w:textAlignment w:val="baseline"/>
        <w:outlineLvl w:val="9"/>
        <w:rPr>
          <w:rFonts w:hint="eastAsia" w:hAnsi="仿宋_GB2312" w:cs="仿宋_GB2312"/>
          <w:sz w:val="32"/>
          <w:szCs w:val="32"/>
          <w:lang w:val="en-US" w:eastAsia="zh-CN"/>
        </w:rPr>
      </w:pPr>
      <w:r>
        <w:rPr>
          <w:rFonts w:hint="eastAsia" w:hAnsi="仿宋_GB2312" w:cs="仿宋_GB2312"/>
          <w:sz w:val="32"/>
          <w:szCs w:val="32"/>
          <w:lang w:val="en-US" w:eastAsia="zh-CN"/>
        </w:rPr>
        <w:t>（3）</w:t>
      </w:r>
      <w:r>
        <w:rPr>
          <w:rFonts w:ascii="仿宋_GB2312" w:hAnsi="仿宋" w:cs="仿宋_GB2312"/>
          <w:color w:val="000000"/>
          <w:kern w:val="0"/>
          <w:szCs w:val="32"/>
        </w:rPr>
        <w:t>201</w:t>
      </w:r>
      <w:r>
        <w:rPr>
          <w:rFonts w:hint="eastAsia" w:ascii="仿宋_GB2312" w:hAnsi="仿宋" w:cs="仿宋_GB2312"/>
          <w:color w:val="000000"/>
          <w:kern w:val="0"/>
          <w:szCs w:val="32"/>
          <w:lang w:val="en-US" w:eastAsia="zh-CN"/>
        </w:rPr>
        <w:t>8</w:t>
      </w:r>
      <w:r>
        <w:rPr>
          <w:rFonts w:hint="eastAsia" w:ascii="仿宋_GB2312" w:hAnsi="仿宋" w:cs="仿宋_GB2312"/>
          <w:color w:val="000000"/>
          <w:kern w:val="0"/>
          <w:szCs w:val="32"/>
        </w:rPr>
        <w:t>年以来获得过市级及以上财政资金支持的企业，应提供本次</w:t>
      </w:r>
      <w:bookmarkStart w:id="0" w:name="_GoBack"/>
      <w:bookmarkEnd w:id="0"/>
      <w:r>
        <w:rPr>
          <w:rFonts w:hint="eastAsia" w:ascii="仿宋_GB2312" w:hAnsi="仿宋" w:cs="仿宋_GB2312"/>
          <w:color w:val="000000"/>
          <w:kern w:val="0"/>
          <w:szCs w:val="32"/>
        </w:rPr>
        <w:t>申报项目与已获支持项目不属于相同或者拆分项目的情况说明</w:t>
      </w:r>
      <w:r>
        <w:rPr>
          <w:rFonts w:hint="eastAsia" w:ascii="仿宋_GB2312" w:hAnsi="仿宋" w:cs="仿宋_GB2312"/>
          <w:color w:val="000000"/>
          <w:kern w:val="0"/>
          <w:szCs w:val="32"/>
          <w:lang w:eastAsia="zh-CN"/>
        </w:rPr>
        <w:t>，</w:t>
      </w:r>
      <w:r>
        <w:rPr>
          <w:rFonts w:hint="eastAsia" w:ascii="仿宋_GB2312" w:hAnsi="仿宋" w:cs="仿宋_GB2312"/>
          <w:color w:val="000000"/>
          <w:kern w:val="0"/>
          <w:szCs w:val="32"/>
        </w:rPr>
        <w:t>并出具情况属实的承诺</w:t>
      </w:r>
      <w:r>
        <w:rPr>
          <w:rFonts w:hint="eastAsia" w:ascii="仿宋_GB2312" w:hAnsi="仿宋" w:cs="仿宋_GB2312"/>
          <w:color w:val="000000"/>
          <w:kern w:val="0"/>
          <w:szCs w:val="32"/>
          <w:lang w:eastAsia="zh-CN"/>
        </w:rPr>
        <w:t>书</w:t>
      </w:r>
      <w:r>
        <w:rPr>
          <w:rFonts w:hint="eastAsia" w:hAnsi="仿宋" w:cs="仿宋_GB2312"/>
          <w:color w:val="000000"/>
          <w:kern w:val="0"/>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1"/>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二、市级促进新型基础设施建设和融合应用专项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 xml:space="preserve">1.申报条件：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rPr>
          <w:rFonts w:hint="eastAsia" w:ascii="仿宋_GB2312" w:eastAsia="仿宋_GB2312"/>
          <w:sz w:val="32"/>
          <w:szCs w:val="32"/>
        </w:rPr>
      </w:pPr>
      <w:r>
        <w:rPr>
          <w:rFonts w:hint="eastAsia" w:ascii="仿宋_GB2312"/>
          <w:sz w:val="32"/>
          <w:szCs w:val="32"/>
          <w:lang w:val="en-US" w:eastAsia="zh-CN"/>
        </w:rPr>
        <w:t>2020年，</w:t>
      </w:r>
      <w:r>
        <w:rPr>
          <w:rFonts w:hint="eastAsia" w:ascii="仿宋_GB2312" w:eastAsia="仿宋_GB2312"/>
          <w:sz w:val="32"/>
          <w:szCs w:val="32"/>
        </w:rPr>
        <w:t>从事5G相关产品研发的企业落地我市，或在我市设立研发中心或分支机构（子公司）。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2"/>
        <w:rPr>
          <w:rFonts w:hint="eastAsia" w:ascii="仿宋_GB2312" w:eastAsia="仿宋_GB2312"/>
          <w:b/>
          <w:bCs/>
          <w:sz w:val="32"/>
          <w:szCs w:val="32"/>
        </w:rPr>
      </w:pPr>
      <w:r>
        <w:rPr>
          <w:rFonts w:hint="eastAsia" w:ascii="仿宋_GB2312" w:eastAsia="仿宋_GB2312"/>
          <w:b/>
          <w:bCs/>
          <w:sz w:val="32"/>
          <w:szCs w:val="32"/>
        </w:rPr>
        <w:t>2.奖励标准：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rPr>
          <w:rFonts w:hint="eastAsia" w:ascii="仿宋_GB2312" w:eastAsia="仿宋_GB2312"/>
          <w:sz w:val="32"/>
          <w:szCs w:val="32"/>
        </w:rPr>
      </w:pPr>
      <w:r>
        <w:rPr>
          <w:rFonts w:hint="eastAsia" w:ascii="仿宋_GB2312" w:eastAsia="仿宋_GB2312"/>
          <w:sz w:val="32"/>
          <w:szCs w:val="32"/>
        </w:rPr>
        <w:t>对实际到位资本金达5000万元（含）以上的，一次性给予200万元的开办补助。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9" w:firstLineChars="200"/>
        <w:jc w:val="both"/>
        <w:textAlignment w:val="auto"/>
        <w:outlineLvl w:val="2"/>
        <w:rPr>
          <w:rFonts w:hint="eastAsia" w:ascii="仿宋_GB2312" w:eastAsia="仿宋_GB2312"/>
          <w:sz w:val="32"/>
          <w:szCs w:val="32"/>
        </w:rPr>
      </w:pPr>
      <w:r>
        <w:rPr>
          <w:rFonts w:hint="eastAsia" w:ascii="仿宋_GB2312" w:eastAsia="仿宋_GB2312"/>
          <w:b/>
          <w:bCs/>
          <w:sz w:val="32"/>
          <w:szCs w:val="32"/>
        </w:rPr>
        <w:t>3.申报材料：</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rPr>
          <w:rFonts w:hint="eastAsia" w:ascii="仿宋_GB2312"/>
          <w:sz w:val="32"/>
          <w:szCs w:val="32"/>
          <w:lang w:eastAsia="zh-CN"/>
        </w:rPr>
      </w:pPr>
      <w:r>
        <w:rPr>
          <w:rFonts w:hint="eastAsia" w:ascii="仿宋_GB2312"/>
          <w:sz w:val="32"/>
          <w:szCs w:val="32"/>
          <w:lang w:val="en-US" w:eastAsia="zh-CN"/>
        </w:rPr>
        <w:t>（1）2020年新设立</w:t>
      </w:r>
      <w:r>
        <w:rPr>
          <w:rFonts w:hint="eastAsia" w:ascii="仿宋_GB2312"/>
          <w:sz w:val="32"/>
          <w:szCs w:val="32"/>
          <w:lang w:eastAsia="zh-CN"/>
        </w:rPr>
        <w:t>企业的《验资报告》；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rPr>
          <w:rFonts w:hint="eastAsia" w:hAnsi="仿宋_GB2312" w:cs="仿宋_GB2312"/>
          <w:sz w:val="32"/>
          <w:szCs w:val="32"/>
          <w:lang w:val="en-US" w:eastAsia="zh-CN"/>
        </w:rPr>
      </w:pPr>
      <w:r>
        <w:rPr>
          <w:rFonts w:hint="eastAsia" w:ascii="仿宋_GB2312"/>
          <w:sz w:val="32"/>
          <w:szCs w:val="32"/>
          <w:lang w:val="en-US" w:eastAsia="zh-CN"/>
        </w:rPr>
        <w:t>（2）2020年度</w:t>
      </w:r>
      <w:r>
        <w:rPr>
          <w:rFonts w:hint="eastAsia" w:hAnsi="仿宋_GB2312" w:cs="仿宋_GB2312"/>
          <w:sz w:val="32"/>
          <w:szCs w:val="32"/>
          <w:lang w:val="en-US" w:eastAsia="zh-CN"/>
        </w:rPr>
        <w:t>经报备防伪的审计报告；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rPr>
          <w:rFonts w:hint="eastAsia" w:hAnsi="仿宋_GB2312" w:cs="仿宋_GB2312"/>
          <w:sz w:val="32"/>
          <w:szCs w:val="32"/>
          <w:lang w:val="en-US" w:eastAsia="zh-CN"/>
        </w:rPr>
      </w:pPr>
      <w:r>
        <w:rPr>
          <w:rFonts w:hint="eastAsia" w:ascii="仿宋_GB2312"/>
          <w:sz w:val="32"/>
          <w:szCs w:val="32"/>
          <w:lang w:val="en-US" w:eastAsia="zh-CN"/>
        </w:rPr>
        <w:t>（3）2020</w:t>
      </w:r>
      <w:r>
        <w:rPr>
          <w:rFonts w:hint="eastAsia" w:hAnsi="仿宋_GB2312" w:cs="仿宋_GB2312"/>
          <w:sz w:val="32"/>
          <w:szCs w:val="32"/>
          <w:lang w:val="en-US" w:eastAsia="zh-CN"/>
        </w:rPr>
        <w:t>年以来获得过市级及以上财政资金支持的企业，</w:t>
      </w:r>
      <w:r>
        <w:rPr>
          <w:rFonts w:hint="eastAsia" w:ascii="仿宋_GB2312" w:hAnsi="仿宋" w:cs="仿宋_GB2312"/>
          <w:color w:val="000000"/>
          <w:kern w:val="0"/>
          <w:szCs w:val="32"/>
        </w:rPr>
        <w:t>应提供本次申报项目与已获支持项目不属于相同或者拆分项目的情况说明</w:t>
      </w:r>
      <w:r>
        <w:rPr>
          <w:rFonts w:hint="eastAsia" w:ascii="仿宋_GB2312" w:hAnsi="仿宋" w:cs="仿宋_GB2312"/>
          <w:color w:val="000000"/>
          <w:kern w:val="0"/>
          <w:szCs w:val="32"/>
          <w:lang w:eastAsia="zh-CN"/>
        </w:rPr>
        <w:t>，</w:t>
      </w:r>
      <w:r>
        <w:rPr>
          <w:rFonts w:hint="eastAsia" w:ascii="仿宋_GB2312" w:hAnsi="仿宋" w:cs="仿宋_GB2312"/>
          <w:color w:val="000000"/>
          <w:kern w:val="0"/>
          <w:szCs w:val="32"/>
        </w:rPr>
        <w:t>并出具情况属实的承诺</w:t>
      </w:r>
      <w:r>
        <w:rPr>
          <w:rFonts w:hint="eastAsia" w:ascii="仿宋_GB2312" w:hAnsi="仿宋" w:cs="仿宋_GB2312"/>
          <w:color w:val="000000"/>
          <w:kern w:val="0"/>
          <w:szCs w:val="32"/>
          <w:lang w:eastAsia="zh-CN"/>
        </w:rPr>
        <w:t>书</w:t>
      </w:r>
      <w:r>
        <w:rPr>
          <w:rFonts w:hint="eastAsia" w:hAnsi="仿宋" w:cs="仿宋_GB2312"/>
          <w:color w:val="000000"/>
          <w:kern w:val="0"/>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16" w:firstLineChars="200"/>
        <w:jc w:val="both"/>
        <w:textAlignment w:val="auto"/>
        <w:rPr>
          <w:rFonts w:hint="eastAsia" w:hAnsi="仿宋_GB2312" w:cs="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
    <w:altName w:val="仿宋"/>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3152C6"/>
    <w:rsid w:val="67C71124"/>
    <w:rsid w:val="6A3152C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经委正文"/>
    <w:basedOn w:val="1"/>
    <w:qFormat/>
    <w:uiPriority w:val="0"/>
    <w:pPr>
      <w:overflowPunct w:val="0"/>
      <w:topLinePunct/>
      <w:adjustRightInd w:val="0"/>
      <w:ind w:firstLine="200" w:firstLineChars="200"/>
      <w:jc w:val="both"/>
    </w:pPr>
    <w:rPr>
      <w:rFonts w:ascii="仿宋_GB2312" w:hAnsi="宋体" w:cs="宋体"/>
      <w:color w:val="000000"/>
      <w:position w:val="6"/>
      <w:szCs w:val="30"/>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2021-02-26T02:34:00Z</dcterms:created>
  <dc:creator>谢赓</dc:creator>
  <cp:lastModifiedBy>谢赓</cp:lastModifiedBy>
  <dcterms:modified xsi:type="dcterms:W3CDTF">2021-03-08T01:59:38Z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