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A664A00">
      <w:pPr>
        <w:rPr>
          <w:rFonts w:hint="default" w:ascii="Times New Roman" w:hAnsi="Times New Roman" w:eastAsia="黑体" w:cs="Times New Roman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3</w:t>
      </w:r>
    </w:p>
    <w:p w14:paraId="742E1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绿色供应链管理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企业评价指标表</w:t>
      </w:r>
    </w:p>
    <w:p w14:paraId="1D158367">
      <w:pPr>
        <w:widowControl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6"/>
          <w:szCs w:val="32"/>
          <w:lang w:val="en-US" w:eastAsia="zh-CN"/>
        </w:rPr>
        <w:t>一般</w:t>
      </w:r>
      <w:r>
        <w:rPr>
          <w:rFonts w:hint="default" w:ascii="Times New Roman" w:hAnsi="Times New Roman" w:eastAsia="黑体" w:cs="Times New Roman"/>
          <w:bCs/>
          <w:sz w:val="36"/>
          <w:szCs w:val="32"/>
        </w:rPr>
        <w:t>要求</w:t>
      </w:r>
      <w:r>
        <w:rPr>
          <w:rFonts w:hint="eastAsia" w:ascii="Times New Roman" w:hAnsi="Times New Roman" w:eastAsia="黑体" w:cs="Times New Roman"/>
          <w:bCs/>
          <w:sz w:val="36"/>
          <w:szCs w:val="32"/>
          <w:lang w:val="en-US" w:eastAsia="zh-CN"/>
        </w:rPr>
        <w:t>符合性评价</w:t>
      </w:r>
      <w:r>
        <w:rPr>
          <w:rFonts w:hint="default" w:ascii="Times New Roman" w:hAnsi="Times New Roman" w:eastAsia="黑体" w:cs="Times New Roman"/>
          <w:bCs/>
          <w:sz w:val="36"/>
          <w:szCs w:val="32"/>
        </w:rPr>
        <w:t>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1"/>
        <w:gridCol w:w="1417"/>
        <w:gridCol w:w="2035"/>
      </w:tblGrid>
      <w:tr w14:paraId="1734D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5221" w:type="dxa"/>
            <w:noWrap w:val="0"/>
            <w:vAlign w:val="center"/>
          </w:tcPr>
          <w:p w14:paraId="66E34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lang w:val="en-US" w:eastAsia="zh-CN"/>
              </w:rPr>
              <w:t>一般</w:t>
            </w: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要求</w:t>
            </w:r>
          </w:p>
        </w:tc>
        <w:tc>
          <w:tcPr>
            <w:tcW w:w="1417" w:type="dxa"/>
            <w:noWrap w:val="0"/>
            <w:vAlign w:val="center"/>
          </w:tcPr>
          <w:p w14:paraId="3701A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是否符合</w:t>
            </w:r>
          </w:p>
        </w:tc>
        <w:tc>
          <w:tcPr>
            <w:tcW w:w="2035" w:type="dxa"/>
            <w:noWrap w:val="0"/>
            <w:vAlign w:val="center"/>
          </w:tcPr>
          <w:p w14:paraId="3FD20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证明材料索引</w:t>
            </w:r>
          </w:p>
        </w:tc>
      </w:tr>
      <w:tr w14:paraId="5D56D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21" w:type="dxa"/>
            <w:noWrap w:val="0"/>
            <w:vAlign w:val="center"/>
          </w:tcPr>
          <w:p w14:paraId="68FEBA0A">
            <w:pPr>
              <w:widowControl/>
              <w:adjustRightInd w:val="0"/>
              <w:snapToGrid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具有独立法人资格。</w:t>
            </w:r>
          </w:p>
        </w:tc>
        <w:tc>
          <w:tcPr>
            <w:tcW w:w="1417" w:type="dxa"/>
            <w:noWrap w:val="0"/>
            <w:vAlign w:val="center"/>
          </w:tcPr>
          <w:p w14:paraId="701B611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02C02E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</w:rPr>
            </w:pPr>
          </w:p>
        </w:tc>
      </w:tr>
      <w:tr w14:paraId="295B9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21" w:type="dxa"/>
            <w:noWrap w:val="0"/>
            <w:vAlign w:val="center"/>
          </w:tcPr>
          <w:p w14:paraId="575A83F3">
            <w:pPr>
              <w:widowControl/>
              <w:adjustRightInd w:val="0"/>
              <w:snapToGrid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具有较强的行业影响力。</w:t>
            </w:r>
          </w:p>
        </w:tc>
        <w:tc>
          <w:tcPr>
            <w:tcW w:w="1417" w:type="dxa"/>
            <w:noWrap w:val="0"/>
            <w:vAlign w:val="center"/>
          </w:tcPr>
          <w:p w14:paraId="1FD12DF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3D7357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</w:rPr>
            </w:pPr>
          </w:p>
        </w:tc>
      </w:tr>
      <w:tr w14:paraId="4A67A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21" w:type="dxa"/>
            <w:noWrap w:val="0"/>
            <w:vAlign w:val="center"/>
          </w:tcPr>
          <w:p w14:paraId="473501CC">
            <w:pPr>
              <w:widowControl/>
              <w:adjustRightInd w:val="0"/>
              <w:snapToGrid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具有较完善的能源资源、环境管理体系，各项管理制度健全，符合国家和地方的法律法规及标准规范要求，近三年无重大安全和环境污染事故。</w:t>
            </w:r>
          </w:p>
        </w:tc>
        <w:tc>
          <w:tcPr>
            <w:tcW w:w="1417" w:type="dxa"/>
            <w:noWrap w:val="0"/>
            <w:vAlign w:val="center"/>
          </w:tcPr>
          <w:p w14:paraId="18802C2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1C3157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</w:rPr>
            </w:pPr>
          </w:p>
        </w:tc>
      </w:tr>
      <w:tr w14:paraId="6BD46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21" w:type="dxa"/>
            <w:noWrap w:val="0"/>
            <w:vAlign w:val="center"/>
          </w:tcPr>
          <w:p w14:paraId="54E4E9EB">
            <w:pPr>
              <w:widowControl/>
              <w:adjustRightInd w:val="0"/>
              <w:snapToGrid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拥有数量众多的供应商，在供应商中有很强的影响力，与上下游供应商建立良好的合作关系。</w:t>
            </w:r>
          </w:p>
        </w:tc>
        <w:tc>
          <w:tcPr>
            <w:tcW w:w="1417" w:type="dxa"/>
            <w:noWrap w:val="0"/>
            <w:vAlign w:val="center"/>
          </w:tcPr>
          <w:p w14:paraId="27EDA90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52124B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</w:rPr>
            </w:pPr>
          </w:p>
        </w:tc>
      </w:tr>
      <w:tr w14:paraId="06467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21" w:type="dxa"/>
            <w:noWrap w:val="0"/>
            <w:vAlign w:val="center"/>
          </w:tcPr>
          <w:p w14:paraId="03EBFE0E">
            <w:pPr>
              <w:widowControl/>
              <w:adjustRightInd w:val="0"/>
              <w:snapToGrid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有完善的供应商管理体系，建立健全的供应商认证、选择、审核、绩效管理和退出机制。</w:t>
            </w:r>
          </w:p>
        </w:tc>
        <w:tc>
          <w:tcPr>
            <w:tcW w:w="1417" w:type="dxa"/>
            <w:noWrap w:val="0"/>
            <w:vAlign w:val="center"/>
          </w:tcPr>
          <w:p w14:paraId="082484B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3E8A9C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</w:rPr>
            </w:pPr>
          </w:p>
        </w:tc>
      </w:tr>
      <w:tr w14:paraId="1D948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21" w:type="dxa"/>
            <w:noWrap w:val="0"/>
            <w:vAlign w:val="center"/>
          </w:tcPr>
          <w:p w14:paraId="0628BCF8">
            <w:pPr>
              <w:adjustRightInd w:val="0"/>
              <w:snapToGrid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有健全的财务管理制度，销售盈利能力处于行业领先水平。</w:t>
            </w:r>
          </w:p>
        </w:tc>
        <w:tc>
          <w:tcPr>
            <w:tcW w:w="1417" w:type="dxa"/>
            <w:noWrap w:val="0"/>
            <w:vAlign w:val="center"/>
          </w:tcPr>
          <w:p w14:paraId="36B0C21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33EAD1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</w:rPr>
            </w:pPr>
          </w:p>
        </w:tc>
      </w:tr>
      <w:tr w14:paraId="1FAE5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21" w:type="dxa"/>
            <w:noWrap w:val="0"/>
            <w:vAlign w:val="center"/>
          </w:tcPr>
          <w:p w14:paraId="3B21F760">
            <w:pPr>
              <w:widowControl/>
              <w:adjustRightInd w:val="0"/>
              <w:snapToGrid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对实施绿色供应链管理有明确的工作目标、思路、计划和措施。</w:t>
            </w:r>
          </w:p>
        </w:tc>
        <w:tc>
          <w:tcPr>
            <w:tcW w:w="1417" w:type="dxa"/>
            <w:noWrap w:val="0"/>
            <w:vAlign w:val="center"/>
          </w:tcPr>
          <w:p w14:paraId="57FBB69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0B51F2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kern w:val="0"/>
                <w:sz w:val="24"/>
                <w:szCs w:val="24"/>
              </w:rPr>
            </w:pPr>
          </w:p>
        </w:tc>
      </w:tr>
    </w:tbl>
    <w:p w14:paraId="5496C7B3">
      <w:pPr>
        <w:pStyle w:val="2"/>
        <w:ind w:left="0" w:leftChars="0" w:firstLine="0" w:firstLineChars="0"/>
        <w:rPr>
          <w:rFonts w:hint="default"/>
          <w:lang w:val="en-US" w:eastAsia="zh-CN"/>
        </w:rPr>
      </w:pPr>
    </w:p>
    <w:p w14:paraId="1C72C90C">
      <w:pPr>
        <w:widowControl/>
        <w:jc w:val="center"/>
        <w:rPr>
          <w:rFonts w:hint="default" w:ascii="Times New Roman" w:hAnsi="Times New Roman" w:eastAsia="黑体" w:cs="Times New Roman"/>
          <w:bCs/>
          <w:sz w:val="32"/>
          <w:szCs w:val="32"/>
          <w:lang w:val="en-US"/>
        </w:rPr>
      </w:pPr>
      <w:r>
        <w:rPr>
          <w:rFonts w:hint="default" w:ascii="Times New Roman" w:hAnsi="Times New Roman" w:eastAsia="黑体" w:cs="Times New Roman"/>
          <w:bCs/>
          <w:sz w:val="36"/>
          <w:szCs w:val="36"/>
        </w:rPr>
        <w:br w:type="page"/>
      </w:r>
      <w:r>
        <w:rPr>
          <w:rFonts w:hint="default" w:ascii="Times New Roman" w:hAnsi="Times New Roman" w:eastAsia="黑体" w:cs="Times New Roman"/>
          <w:bCs/>
          <w:sz w:val="36"/>
          <w:szCs w:val="36"/>
        </w:rPr>
        <w:t>管理</w:t>
      </w:r>
      <w:r>
        <w:rPr>
          <w:rFonts w:hint="eastAsia" w:ascii="Times New Roman" w:hAnsi="Times New Roman" w:eastAsia="黑体" w:cs="Times New Roman"/>
          <w:bCs/>
          <w:sz w:val="36"/>
          <w:szCs w:val="36"/>
          <w:lang w:val="en-US" w:eastAsia="zh-CN"/>
        </w:rPr>
        <w:t>指数评分表</w:t>
      </w:r>
    </w:p>
    <w:p w14:paraId="54FD00EE">
      <w:pPr>
        <w:autoSpaceDE w:val="0"/>
        <w:autoSpaceDN w:val="0"/>
        <w:adjustRightInd w:val="0"/>
        <w:jc w:val="center"/>
        <w:rPr>
          <w:rFonts w:hint="default" w:ascii="Times New Roman" w:hAnsi="Times New Roman" w:eastAsia="仿宋_GB2312" w:cs="Times New Roman"/>
          <w:b/>
          <w:kern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kern w:val="0"/>
          <w:sz w:val="30"/>
          <w:szCs w:val="30"/>
        </w:rPr>
        <w:t>（20  年）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728"/>
        <w:gridCol w:w="3601"/>
        <w:gridCol w:w="840"/>
        <w:gridCol w:w="840"/>
        <w:gridCol w:w="1169"/>
      </w:tblGrid>
      <w:tr w14:paraId="6D45C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noWrap w:val="0"/>
            <w:vAlign w:val="center"/>
          </w:tcPr>
          <w:p w14:paraId="7E6BA34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一级指标</w:t>
            </w:r>
          </w:p>
        </w:tc>
        <w:tc>
          <w:tcPr>
            <w:tcW w:w="728" w:type="dxa"/>
            <w:noWrap w:val="0"/>
            <w:vAlign w:val="center"/>
          </w:tcPr>
          <w:p w14:paraId="088A343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3601" w:type="dxa"/>
            <w:noWrap w:val="0"/>
            <w:vAlign w:val="center"/>
          </w:tcPr>
          <w:p w14:paraId="5092CB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二级指标</w:t>
            </w:r>
          </w:p>
        </w:tc>
        <w:tc>
          <w:tcPr>
            <w:tcW w:w="840" w:type="dxa"/>
            <w:noWrap w:val="0"/>
            <w:vAlign w:val="center"/>
          </w:tcPr>
          <w:p w14:paraId="1AE28DD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最高分值</w:t>
            </w:r>
          </w:p>
        </w:tc>
        <w:tc>
          <w:tcPr>
            <w:tcW w:w="840" w:type="dxa"/>
            <w:noWrap w:val="0"/>
            <w:vAlign w:val="center"/>
          </w:tcPr>
          <w:p w14:paraId="3274C2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得分</w:t>
            </w:r>
          </w:p>
        </w:tc>
        <w:tc>
          <w:tcPr>
            <w:tcW w:w="1169" w:type="dxa"/>
            <w:noWrap w:val="0"/>
            <w:vAlign w:val="center"/>
          </w:tcPr>
          <w:p w14:paraId="2698754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证明材料索引</w:t>
            </w:r>
          </w:p>
        </w:tc>
      </w:tr>
      <w:tr w14:paraId="7763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vMerge w:val="restart"/>
            <w:noWrap w:val="0"/>
            <w:vAlign w:val="center"/>
          </w:tcPr>
          <w:p w14:paraId="518216B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绿色供应链管理</w:t>
            </w:r>
          </w:p>
          <w:p w14:paraId="21DD857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战略X1</w:t>
            </w:r>
          </w:p>
        </w:tc>
        <w:tc>
          <w:tcPr>
            <w:tcW w:w="728" w:type="dxa"/>
            <w:noWrap w:val="0"/>
            <w:vAlign w:val="center"/>
          </w:tcPr>
          <w:p w14:paraId="05E4FD8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3601" w:type="dxa"/>
            <w:noWrap w:val="0"/>
            <w:vAlign w:val="center"/>
          </w:tcPr>
          <w:p w14:paraId="3A7B77C3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纳入公司发展规划X11</w:t>
            </w:r>
          </w:p>
        </w:tc>
        <w:tc>
          <w:tcPr>
            <w:tcW w:w="840" w:type="dxa"/>
            <w:noWrap w:val="0"/>
            <w:vAlign w:val="center"/>
          </w:tcPr>
          <w:p w14:paraId="34709AA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</w:t>
            </w:r>
          </w:p>
        </w:tc>
        <w:tc>
          <w:tcPr>
            <w:tcW w:w="840" w:type="dxa"/>
            <w:noWrap w:val="0"/>
            <w:vAlign w:val="center"/>
          </w:tcPr>
          <w:p w14:paraId="26408E6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6F867D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9DA5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vMerge w:val="continue"/>
            <w:noWrap w:val="0"/>
            <w:vAlign w:val="center"/>
          </w:tcPr>
          <w:p w14:paraId="7B4340C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 w14:paraId="617B05B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3601" w:type="dxa"/>
            <w:noWrap w:val="0"/>
            <w:vAlign w:val="center"/>
          </w:tcPr>
          <w:p w14:paraId="596D10F7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制定绿色供应链管理目标X12</w:t>
            </w:r>
          </w:p>
        </w:tc>
        <w:tc>
          <w:tcPr>
            <w:tcW w:w="840" w:type="dxa"/>
            <w:noWrap w:val="0"/>
            <w:vAlign w:val="center"/>
          </w:tcPr>
          <w:p w14:paraId="193B26E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840" w:type="dxa"/>
            <w:noWrap w:val="0"/>
            <w:vAlign w:val="center"/>
          </w:tcPr>
          <w:p w14:paraId="7485A7D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33B3276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69B9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vMerge w:val="continue"/>
            <w:noWrap w:val="0"/>
            <w:vAlign w:val="center"/>
          </w:tcPr>
          <w:p w14:paraId="43ECE6E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 w14:paraId="672A952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3601" w:type="dxa"/>
            <w:noWrap w:val="0"/>
            <w:vAlign w:val="center"/>
          </w:tcPr>
          <w:p w14:paraId="7349D4A3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设置专门管理机构X13</w:t>
            </w:r>
          </w:p>
        </w:tc>
        <w:tc>
          <w:tcPr>
            <w:tcW w:w="840" w:type="dxa"/>
            <w:noWrap w:val="0"/>
            <w:vAlign w:val="center"/>
          </w:tcPr>
          <w:p w14:paraId="437A6E1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840" w:type="dxa"/>
            <w:noWrap w:val="0"/>
            <w:vAlign w:val="center"/>
          </w:tcPr>
          <w:p w14:paraId="4DC4E16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4AAA1C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20A6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vMerge w:val="restart"/>
            <w:noWrap w:val="0"/>
            <w:vAlign w:val="center"/>
          </w:tcPr>
          <w:p w14:paraId="6436CD1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实施绿色供应商</w:t>
            </w:r>
          </w:p>
          <w:p w14:paraId="0B3F1E0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管理X2</w:t>
            </w:r>
          </w:p>
        </w:tc>
        <w:tc>
          <w:tcPr>
            <w:tcW w:w="728" w:type="dxa"/>
            <w:noWrap w:val="0"/>
            <w:vAlign w:val="center"/>
          </w:tcPr>
          <w:p w14:paraId="6CC8034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3601" w:type="dxa"/>
            <w:noWrap w:val="0"/>
            <w:vAlign w:val="center"/>
          </w:tcPr>
          <w:p w14:paraId="17FBB8D1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绿色采购标准制度完善X21</w:t>
            </w:r>
          </w:p>
        </w:tc>
        <w:tc>
          <w:tcPr>
            <w:tcW w:w="840" w:type="dxa"/>
            <w:noWrap w:val="0"/>
            <w:vAlign w:val="center"/>
          </w:tcPr>
          <w:p w14:paraId="4C572F5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840" w:type="dxa"/>
            <w:noWrap w:val="0"/>
            <w:vAlign w:val="center"/>
          </w:tcPr>
          <w:p w14:paraId="685FCB7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086A059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1111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vMerge w:val="continue"/>
            <w:noWrap w:val="0"/>
            <w:vAlign w:val="center"/>
          </w:tcPr>
          <w:p w14:paraId="71B3412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 w14:paraId="5F0619B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3601" w:type="dxa"/>
            <w:noWrap w:val="0"/>
            <w:vAlign w:val="center"/>
          </w:tcPr>
          <w:p w14:paraId="3417D6C1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供应商认证体系完善X22</w:t>
            </w:r>
          </w:p>
        </w:tc>
        <w:tc>
          <w:tcPr>
            <w:tcW w:w="840" w:type="dxa"/>
            <w:noWrap w:val="0"/>
            <w:vAlign w:val="center"/>
          </w:tcPr>
          <w:p w14:paraId="4992897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840" w:type="dxa"/>
            <w:noWrap w:val="0"/>
            <w:vAlign w:val="center"/>
          </w:tcPr>
          <w:p w14:paraId="27787DC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7570B2E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F94E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vMerge w:val="continue"/>
            <w:noWrap w:val="0"/>
            <w:vAlign w:val="center"/>
          </w:tcPr>
          <w:p w14:paraId="7646C18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 w14:paraId="6423FB3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3601" w:type="dxa"/>
            <w:noWrap w:val="0"/>
            <w:vAlign w:val="center"/>
          </w:tcPr>
          <w:p w14:paraId="5F6028A5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对供应商定期审核X23</w:t>
            </w:r>
          </w:p>
        </w:tc>
        <w:tc>
          <w:tcPr>
            <w:tcW w:w="840" w:type="dxa"/>
            <w:noWrap w:val="0"/>
            <w:vAlign w:val="center"/>
          </w:tcPr>
          <w:p w14:paraId="2D0F7AA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840" w:type="dxa"/>
            <w:noWrap w:val="0"/>
            <w:vAlign w:val="center"/>
          </w:tcPr>
          <w:p w14:paraId="21BA968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6F4449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1D40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vMerge w:val="continue"/>
            <w:noWrap w:val="0"/>
            <w:vAlign w:val="center"/>
          </w:tcPr>
          <w:p w14:paraId="3DBA9B3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7E5E1F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</w:p>
        </w:tc>
        <w:tc>
          <w:tcPr>
            <w:tcW w:w="3601" w:type="dxa"/>
            <w:noWrap w:val="0"/>
            <w:vAlign w:val="center"/>
          </w:tcPr>
          <w:p w14:paraId="47FEB486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供应商绩效评估制度健全X24</w:t>
            </w:r>
          </w:p>
        </w:tc>
        <w:tc>
          <w:tcPr>
            <w:tcW w:w="840" w:type="dxa"/>
            <w:noWrap w:val="0"/>
            <w:vAlign w:val="center"/>
          </w:tcPr>
          <w:p w14:paraId="0CBDD21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840" w:type="dxa"/>
            <w:noWrap w:val="0"/>
            <w:vAlign w:val="center"/>
          </w:tcPr>
          <w:p w14:paraId="70247FE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66BF24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455A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vMerge w:val="continue"/>
            <w:noWrap w:val="0"/>
            <w:vAlign w:val="center"/>
          </w:tcPr>
          <w:p w14:paraId="30F4DE5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 w14:paraId="5BCEF26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</w:t>
            </w:r>
          </w:p>
        </w:tc>
        <w:tc>
          <w:tcPr>
            <w:tcW w:w="3601" w:type="dxa"/>
            <w:noWrap w:val="0"/>
            <w:vAlign w:val="center"/>
          </w:tcPr>
          <w:p w14:paraId="1CA9740B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定期对供应商进行培训X25</w:t>
            </w:r>
          </w:p>
        </w:tc>
        <w:tc>
          <w:tcPr>
            <w:tcW w:w="840" w:type="dxa"/>
            <w:noWrap w:val="0"/>
            <w:vAlign w:val="center"/>
          </w:tcPr>
          <w:p w14:paraId="4377060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840" w:type="dxa"/>
            <w:noWrap w:val="0"/>
            <w:vAlign w:val="center"/>
          </w:tcPr>
          <w:p w14:paraId="4994CAD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48CFF3E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DD49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vMerge w:val="continue"/>
            <w:noWrap w:val="0"/>
            <w:vAlign w:val="center"/>
          </w:tcPr>
          <w:p w14:paraId="7DA4B95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B27125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</w:t>
            </w:r>
          </w:p>
        </w:tc>
        <w:tc>
          <w:tcPr>
            <w:tcW w:w="3601" w:type="dxa"/>
            <w:noWrap w:val="0"/>
            <w:vAlign w:val="center"/>
          </w:tcPr>
          <w:p w14:paraId="001467C7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低风险供应商占比X26</w:t>
            </w:r>
          </w:p>
        </w:tc>
        <w:tc>
          <w:tcPr>
            <w:tcW w:w="840" w:type="dxa"/>
            <w:noWrap w:val="0"/>
            <w:vAlign w:val="center"/>
          </w:tcPr>
          <w:p w14:paraId="15BED4B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840" w:type="dxa"/>
            <w:noWrap w:val="0"/>
            <w:vAlign w:val="center"/>
          </w:tcPr>
          <w:p w14:paraId="1541ABA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45B33C6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8481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vMerge w:val="restart"/>
            <w:noWrap w:val="0"/>
            <w:vAlign w:val="center"/>
          </w:tcPr>
          <w:p w14:paraId="2848791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绿色生产X3</w:t>
            </w:r>
          </w:p>
        </w:tc>
        <w:tc>
          <w:tcPr>
            <w:tcW w:w="728" w:type="dxa"/>
            <w:noWrap w:val="0"/>
            <w:vAlign w:val="center"/>
          </w:tcPr>
          <w:p w14:paraId="66FF64C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</w:t>
            </w:r>
          </w:p>
        </w:tc>
        <w:tc>
          <w:tcPr>
            <w:tcW w:w="3601" w:type="dxa"/>
            <w:noWrap w:val="0"/>
            <w:vAlign w:val="center"/>
          </w:tcPr>
          <w:p w14:paraId="4B2EDDC9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节能减排环保合规X31</w:t>
            </w:r>
          </w:p>
        </w:tc>
        <w:tc>
          <w:tcPr>
            <w:tcW w:w="840" w:type="dxa"/>
            <w:noWrap w:val="0"/>
            <w:vAlign w:val="center"/>
          </w:tcPr>
          <w:p w14:paraId="29BAFD7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</w:t>
            </w:r>
          </w:p>
        </w:tc>
        <w:tc>
          <w:tcPr>
            <w:tcW w:w="840" w:type="dxa"/>
            <w:noWrap w:val="0"/>
            <w:vAlign w:val="center"/>
          </w:tcPr>
          <w:p w14:paraId="26F1E9C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5B580C6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20E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vMerge w:val="continue"/>
            <w:noWrap w:val="0"/>
            <w:vAlign w:val="center"/>
          </w:tcPr>
          <w:p w14:paraId="34CFAD1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 w14:paraId="3471491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</w:t>
            </w:r>
          </w:p>
        </w:tc>
        <w:tc>
          <w:tcPr>
            <w:tcW w:w="3601" w:type="dxa"/>
            <w:noWrap w:val="0"/>
            <w:vAlign w:val="center"/>
          </w:tcPr>
          <w:p w14:paraId="284D275A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符合有害物质限制使用管理办法X32</w:t>
            </w:r>
          </w:p>
        </w:tc>
        <w:tc>
          <w:tcPr>
            <w:tcW w:w="840" w:type="dxa"/>
            <w:noWrap w:val="0"/>
            <w:vAlign w:val="center"/>
          </w:tcPr>
          <w:p w14:paraId="077B5E9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</w:t>
            </w:r>
          </w:p>
        </w:tc>
        <w:tc>
          <w:tcPr>
            <w:tcW w:w="840" w:type="dxa"/>
            <w:noWrap w:val="0"/>
            <w:vAlign w:val="center"/>
          </w:tcPr>
          <w:p w14:paraId="36515C8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5ACDCC4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C86F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vMerge w:val="restart"/>
            <w:noWrap w:val="0"/>
            <w:vAlign w:val="center"/>
          </w:tcPr>
          <w:p w14:paraId="3C7505D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绿色回收X4</w:t>
            </w:r>
          </w:p>
        </w:tc>
        <w:tc>
          <w:tcPr>
            <w:tcW w:w="728" w:type="dxa"/>
            <w:noWrap w:val="0"/>
            <w:vAlign w:val="center"/>
          </w:tcPr>
          <w:p w14:paraId="1BE2237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</w:t>
            </w:r>
          </w:p>
        </w:tc>
        <w:tc>
          <w:tcPr>
            <w:tcW w:w="3601" w:type="dxa"/>
            <w:noWrap w:val="0"/>
            <w:vAlign w:val="center"/>
          </w:tcPr>
          <w:p w14:paraId="49595E1D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产品回收率X41</w:t>
            </w:r>
          </w:p>
        </w:tc>
        <w:tc>
          <w:tcPr>
            <w:tcW w:w="840" w:type="dxa"/>
            <w:noWrap w:val="0"/>
            <w:vAlign w:val="center"/>
          </w:tcPr>
          <w:p w14:paraId="06703E0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840" w:type="dxa"/>
            <w:noWrap w:val="0"/>
            <w:vAlign w:val="center"/>
          </w:tcPr>
          <w:p w14:paraId="28CB74D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566F436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65EB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vMerge w:val="continue"/>
            <w:noWrap w:val="0"/>
            <w:vAlign w:val="center"/>
          </w:tcPr>
          <w:p w14:paraId="28D8AE8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01C68D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</w:t>
            </w:r>
          </w:p>
        </w:tc>
        <w:tc>
          <w:tcPr>
            <w:tcW w:w="3601" w:type="dxa"/>
            <w:noWrap w:val="0"/>
            <w:vAlign w:val="center"/>
          </w:tcPr>
          <w:p w14:paraId="246BF278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包装回收率X42</w:t>
            </w:r>
          </w:p>
        </w:tc>
        <w:tc>
          <w:tcPr>
            <w:tcW w:w="840" w:type="dxa"/>
            <w:noWrap w:val="0"/>
            <w:vAlign w:val="center"/>
          </w:tcPr>
          <w:p w14:paraId="4FE6B2B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840" w:type="dxa"/>
            <w:noWrap w:val="0"/>
            <w:vAlign w:val="center"/>
          </w:tcPr>
          <w:p w14:paraId="1E4ECE1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0EC9D92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7B68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vMerge w:val="continue"/>
            <w:noWrap w:val="0"/>
            <w:vAlign w:val="center"/>
          </w:tcPr>
          <w:p w14:paraId="2783BAA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BE1010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</w:t>
            </w:r>
          </w:p>
        </w:tc>
        <w:tc>
          <w:tcPr>
            <w:tcW w:w="3601" w:type="dxa"/>
            <w:noWrap w:val="0"/>
            <w:vAlign w:val="center"/>
          </w:tcPr>
          <w:p w14:paraId="38421B5B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回收体系完善（含自建、与第三方联合回收）X43</w:t>
            </w:r>
          </w:p>
        </w:tc>
        <w:tc>
          <w:tcPr>
            <w:tcW w:w="840" w:type="dxa"/>
            <w:noWrap w:val="0"/>
            <w:vAlign w:val="center"/>
          </w:tcPr>
          <w:p w14:paraId="25AFFB6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840" w:type="dxa"/>
            <w:noWrap w:val="0"/>
            <w:vAlign w:val="center"/>
          </w:tcPr>
          <w:p w14:paraId="60B4E50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3A4C358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9F8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vMerge w:val="continue"/>
            <w:noWrap w:val="0"/>
            <w:vAlign w:val="center"/>
          </w:tcPr>
          <w:p w14:paraId="73C3225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 w14:paraId="048742A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</w:t>
            </w:r>
          </w:p>
        </w:tc>
        <w:tc>
          <w:tcPr>
            <w:tcW w:w="3601" w:type="dxa"/>
            <w:noWrap w:val="0"/>
            <w:vAlign w:val="center"/>
          </w:tcPr>
          <w:p w14:paraId="3CEAEA30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指导下游企业回收拆解X44</w:t>
            </w:r>
          </w:p>
        </w:tc>
        <w:tc>
          <w:tcPr>
            <w:tcW w:w="840" w:type="dxa"/>
            <w:noWrap w:val="0"/>
            <w:vAlign w:val="center"/>
          </w:tcPr>
          <w:p w14:paraId="6D8A66B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840" w:type="dxa"/>
            <w:noWrap w:val="0"/>
            <w:vAlign w:val="center"/>
          </w:tcPr>
          <w:p w14:paraId="3F9DBFE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E7FA59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C720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noWrap w:val="0"/>
            <w:vAlign w:val="center"/>
          </w:tcPr>
          <w:p w14:paraId="170BE5A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绿色信息平台建设X5</w:t>
            </w:r>
          </w:p>
        </w:tc>
        <w:tc>
          <w:tcPr>
            <w:tcW w:w="728" w:type="dxa"/>
            <w:noWrap w:val="0"/>
            <w:vAlign w:val="center"/>
          </w:tcPr>
          <w:p w14:paraId="63641DC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</w:t>
            </w:r>
          </w:p>
        </w:tc>
        <w:tc>
          <w:tcPr>
            <w:tcW w:w="3601" w:type="dxa"/>
            <w:noWrap w:val="0"/>
            <w:vAlign w:val="center"/>
          </w:tcPr>
          <w:p w14:paraId="45F340D9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绿色供应链管理信息平台完善X51</w:t>
            </w:r>
          </w:p>
        </w:tc>
        <w:tc>
          <w:tcPr>
            <w:tcW w:w="840" w:type="dxa"/>
            <w:noWrap w:val="0"/>
            <w:vAlign w:val="center"/>
          </w:tcPr>
          <w:p w14:paraId="1AC9A20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</w:t>
            </w:r>
          </w:p>
        </w:tc>
        <w:tc>
          <w:tcPr>
            <w:tcW w:w="840" w:type="dxa"/>
            <w:noWrap w:val="0"/>
            <w:vAlign w:val="center"/>
          </w:tcPr>
          <w:p w14:paraId="249157B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3FA6FD3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3C75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vMerge w:val="restart"/>
            <w:noWrap w:val="0"/>
            <w:vAlign w:val="center"/>
          </w:tcPr>
          <w:p w14:paraId="52B8246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绿色信息披露X6</w:t>
            </w:r>
          </w:p>
        </w:tc>
        <w:tc>
          <w:tcPr>
            <w:tcW w:w="728" w:type="dxa"/>
            <w:noWrap w:val="0"/>
            <w:vAlign w:val="center"/>
          </w:tcPr>
          <w:p w14:paraId="365CDDF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</w:t>
            </w:r>
          </w:p>
        </w:tc>
        <w:tc>
          <w:tcPr>
            <w:tcW w:w="3601" w:type="dxa"/>
            <w:noWrap w:val="0"/>
            <w:vAlign w:val="center"/>
          </w:tcPr>
          <w:p w14:paraId="68CBA6A0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披露企业节能减排减碳信息X61</w:t>
            </w:r>
          </w:p>
        </w:tc>
        <w:tc>
          <w:tcPr>
            <w:tcW w:w="840" w:type="dxa"/>
            <w:noWrap w:val="0"/>
            <w:vAlign w:val="center"/>
          </w:tcPr>
          <w:p w14:paraId="0C98D22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2.5</w:t>
            </w:r>
          </w:p>
        </w:tc>
        <w:tc>
          <w:tcPr>
            <w:tcW w:w="840" w:type="dxa"/>
            <w:noWrap w:val="0"/>
            <w:vAlign w:val="center"/>
          </w:tcPr>
          <w:p w14:paraId="34EA83A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43B12D2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CF12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vMerge w:val="continue"/>
            <w:noWrap w:val="0"/>
            <w:vAlign w:val="center"/>
          </w:tcPr>
          <w:p w14:paraId="769766F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 w14:paraId="0D6C717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</w:t>
            </w:r>
          </w:p>
        </w:tc>
        <w:tc>
          <w:tcPr>
            <w:tcW w:w="3601" w:type="dxa"/>
            <w:noWrap w:val="0"/>
            <w:vAlign w:val="center"/>
          </w:tcPr>
          <w:p w14:paraId="5F334CC8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披露高、中风险供应商审核率及低风险供应商占比X62</w:t>
            </w:r>
          </w:p>
        </w:tc>
        <w:tc>
          <w:tcPr>
            <w:tcW w:w="840" w:type="dxa"/>
            <w:noWrap w:val="0"/>
            <w:vAlign w:val="center"/>
          </w:tcPr>
          <w:p w14:paraId="2EFD2CD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2.5</w:t>
            </w:r>
          </w:p>
        </w:tc>
        <w:tc>
          <w:tcPr>
            <w:tcW w:w="840" w:type="dxa"/>
            <w:noWrap w:val="0"/>
            <w:vAlign w:val="center"/>
          </w:tcPr>
          <w:p w14:paraId="0EB85FF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421E96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BDD1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vMerge w:val="continue"/>
            <w:noWrap w:val="0"/>
            <w:vAlign w:val="center"/>
          </w:tcPr>
          <w:p w14:paraId="3B8AC82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 w14:paraId="32F0EF5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</w:t>
            </w:r>
          </w:p>
        </w:tc>
        <w:tc>
          <w:tcPr>
            <w:tcW w:w="3601" w:type="dxa"/>
            <w:noWrap w:val="0"/>
            <w:vAlign w:val="center"/>
          </w:tcPr>
          <w:p w14:paraId="656EECCA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披露供应商节能减排信息X63</w:t>
            </w:r>
          </w:p>
        </w:tc>
        <w:tc>
          <w:tcPr>
            <w:tcW w:w="840" w:type="dxa"/>
            <w:noWrap w:val="0"/>
            <w:vAlign w:val="center"/>
          </w:tcPr>
          <w:p w14:paraId="07C5EFD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2.5</w:t>
            </w:r>
          </w:p>
        </w:tc>
        <w:tc>
          <w:tcPr>
            <w:tcW w:w="840" w:type="dxa"/>
            <w:noWrap w:val="0"/>
            <w:vAlign w:val="center"/>
          </w:tcPr>
          <w:p w14:paraId="4816C00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614D21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8558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vMerge w:val="continue"/>
            <w:noWrap w:val="0"/>
            <w:vAlign w:val="center"/>
          </w:tcPr>
          <w:p w14:paraId="647CBFB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 w14:paraId="1186EA5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</w:t>
            </w:r>
          </w:p>
        </w:tc>
        <w:tc>
          <w:tcPr>
            <w:tcW w:w="3601" w:type="dxa"/>
            <w:noWrap w:val="0"/>
            <w:vAlign w:val="center"/>
          </w:tcPr>
          <w:p w14:paraId="2D49FEFA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发布企业社会责任报告（含绿色采购信息）X64</w:t>
            </w:r>
          </w:p>
        </w:tc>
        <w:tc>
          <w:tcPr>
            <w:tcW w:w="840" w:type="dxa"/>
            <w:noWrap w:val="0"/>
            <w:vAlign w:val="center"/>
          </w:tcPr>
          <w:p w14:paraId="626FF07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2.5</w:t>
            </w:r>
          </w:p>
        </w:tc>
        <w:tc>
          <w:tcPr>
            <w:tcW w:w="840" w:type="dxa"/>
            <w:noWrap w:val="0"/>
            <w:vAlign w:val="center"/>
          </w:tcPr>
          <w:p w14:paraId="0D2486E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13A94F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F3B1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08" w:type="dxa"/>
            <w:noWrap w:val="0"/>
            <w:vAlign w:val="center"/>
          </w:tcPr>
          <w:p w14:paraId="4FECBBE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加分项</w:t>
            </w:r>
          </w:p>
        </w:tc>
        <w:tc>
          <w:tcPr>
            <w:tcW w:w="728" w:type="dxa"/>
            <w:noWrap w:val="0"/>
            <w:vAlign w:val="center"/>
          </w:tcPr>
          <w:p w14:paraId="1A01B35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21</w:t>
            </w:r>
          </w:p>
        </w:tc>
        <w:tc>
          <w:tcPr>
            <w:tcW w:w="3601" w:type="dxa"/>
            <w:noWrap w:val="0"/>
            <w:vAlign w:val="center"/>
          </w:tcPr>
          <w:p w14:paraId="17893E21">
            <w:pPr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  <w:t>“碳足迹核算”情况</w:t>
            </w:r>
          </w:p>
        </w:tc>
        <w:tc>
          <w:tcPr>
            <w:tcW w:w="840" w:type="dxa"/>
            <w:noWrap w:val="0"/>
            <w:vAlign w:val="center"/>
          </w:tcPr>
          <w:p w14:paraId="74D2A78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</w:t>
            </w:r>
          </w:p>
        </w:tc>
        <w:tc>
          <w:tcPr>
            <w:tcW w:w="840" w:type="dxa"/>
            <w:noWrap w:val="0"/>
            <w:vAlign w:val="center"/>
          </w:tcPr>
          <w:p w14:paraId="1D410EC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23722E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4FCDCA68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备注：1.定性指标如符合要求，可得满分，不符合要求则得0分；</w:t>
      </w:r>
    </w:p>
    <w:p w14:paraId="78AE2B4D">
      <w:pPr>
        <w:ind w:firstLine="720" w:firstLineChars="3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2.定量指标不低于基准值的，得满分，其余按指标值/基准值*分值进行打分。</w:t>
      </w:r>
    </w:p>
    <w:p w14:paraId="3AAA6137">
      <w:pPr>
        <w:ind w:firstLine="0" w:firstLineChars="0"/>
        <w:rPr>
          <w:rFonts w:hint="default" w:ascii="Times New Roman" w:hAnsi="Times New Roman" w:eastAsia="仿宋_GB2312" w:cs="Times New Roman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黑体">
    <w:altName w:val="方正黑体_GBK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A68F7">
    <w:pPr>
      <w:pStyle w:val="5"/>
      <w:jc w:val="center"/>
      <w:rPr>
        <w:rFonts w:hint="eastAsia" w:ascii="仿宋_GB2312" w:hAnsi="仿宋_GB2312" w:eastAsia="仿宋_GB2312" w:cs="仿宋_GB2312"/>
        <w:sz w:val="22"/>
        <w:szCs w:val="22"/>
      </w:rPr>
    </w:pPr>
    <w:r>
      <w:rPr>
        <w:rFonts w:ascii="Times New Roman" w:hAnsi="Times New Roman" w:cs="Times New Roman"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75CA8B">
                          <w:pPr>
                            <w:snapToGrid w:val="0"/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F75CA8B">
                    <w:pPr>
                      <w:snapToGrid w:val="0"/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wMzYxMmIyMWM5NThhMzgyYjEwNTFjNDliZjdlYTMifQ=="/>
  </w:docVars>
  <w:rsids>
    <w:rsidRoot w:val="00172A27"/>
    <w:rsid w:val="06FA2CF3"/>
    <w:rsid w:val="126B6B6F"/>
    <w:rsid w:val="1FD02994"/>
    <w:rsid w:val="265DFC4C"/>
    <w:rsid w:val="37EE5C14"/>
    <w:rsid w:val="55381E23"/>
    <w:rsid w:val="57F96D37"/>
    <w:rsid w:val="5FDEB972"/>
    <w:rsid w:val="6FFC49E2"/>
    <w:rsid w:val="7BCE748F"/>
    <w:rsid w:val="7FAE2324"/>
    <w:rsid w:val="BE2FE4F4"/>
    <w:rsid w:val="BF5F3A2E"/>
    <w:rsid w:val="C3AD42C6"/>
    <w:rsid w:val="E7EEA5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uiPriority w:val="99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utoSpaceDE w:val="0"/>
      <w:autoSpaceDN w:val="0"/>
      <w:ind w:left="120"/>
      <w:jc w:val="left"/>
    </w:pPr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styleId="3">
    <w:name w:val="annotation text"/>
    <w:basedOn w:val="1"/>
    <w:link w:val="12"/>
    <w:qFormat/>
    <w:uiPriority w:val="0"/>
    <w:pPr>
      <w:jc w:val="left"/>
    </w:p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qFormat/>
    <w:uiPriority w:val="0"/>
    <w:rPr>
      <w:b/>
      <w:bCs/>
    </w:rPr>
  </w:style>
  <w:style w:type="character" w:styleId="10">
    <w:name w:val="Hyperlink"/>
    <w:qFormat/>
    <w:uiPriority w:val="0"/>
    <w:rPr>
      <w:color w:val="0000FF"/>
      <w:u w:val="single"/>
    </w:rPr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批注文字 Char"/>
    <w:link w:val="3"/>
    <w:qFormat/>
    <w:uiPriority w:val="0"/>
    <w:rPr>
      <w:rFonts w:ascii="Calibri" w:hAnsi="Calibri" w:cs="黑体"/>
      <w:kern w:val="2"/>
      <w:sz w:val="21"/>
      <w:szCs w:val="22"/>
    </w:rPr>
  </w:style>
  <w:style w:type="character" w:customStyle="1" w:styleId="13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4">
    <w:name w:val="页脚 Char"/>
    <w:link w:val="5"/>
    <w:qFormat/>
    <w:uiPriority w:val="99"/>
    <w:rPr>
      <w:kern w:val="2"/>
      <w:sz w:val="18"/>
      <w:szCs w:val="18"/>
    </w:rPr>
  </w:style>
  <w:style w:type="character" w:customStyle="1" w:styleId="15">
    <w:name w:val="页眉 Char"/>
    <w:link w:val="6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16">
    <w:name w:val="批注主题 Char"/>
    <w:link w:val="7"/>
    <w:qFormat/>
    <w:uiPriority w:val="0"/>
    <w:rPr>
      <w:rFonts w:ascii="Calibri" w:hAnsi="Calibri" w:cs="黑体"/>
      <w:b/>
      <w:bCs/>
      <w:kern w:val="2"/>
      <w:sz w:val="21"/>
      <w:szCs w:val="22"/>
    </w:rPr>
  </w:style>
  <w:style w:type="paragraph" w:customStyle="1" w:styleId="17">
    <w:name w:val="列出段落2"/>
    <w:basedOn w:val="1"/>
    <w:qFormat/>
    <w:uiPriority w:val="99"/>
    <w:pPr>
      <w:ind w:firstLine="420" w:firstLineChars="200"/>
    </w:pPr>
  </w:style>
  <w:style w:type="paragraph" w:customStyle="1" w:styleId="1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4670</Words>
  <Characters>4889</Characters>
  <Lines>19</Lines>
  <Paragraphs>5</Paragraphs>
  <TotalTime>27.3333333333333</TotalTime>
  <ScaleCrop>false</ScaleCrop>
  <LinksUpToDate>false</LinksUpToDate>
  <CharactersWithSpaces>5269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2017-01-30T23:04:00Z</dcterms:created>
  <dc:creator>admin</dc:creator>
  <cp:lastModifiedBy>NeoKylin</cp:lastModifiedBy>
  <cp:lastPrinted>2025-02-13T11:50:44Z</cp:lastPrinted>
  <dcterms:modified xsi:type="dcterms:W3CDTF">2026-04-03T09:12:31Z</dcterms:modified>
  <dc:title>附件1  绿色工厂试点申报材料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98C9FA4D8551463FFF13CF6905544E7C_43</vt:lpwstr>
  </property>
</Properties>
</file>