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ind w:firstLine="0" w:firstLineChars="0"/>
        <w:rPr>
          <w:rStyle w:val="9"/>
          <w:rFonts w:hint="eastAsia" w:ascii="仿宋" w:hAnsi="仿宋" w:eastAsia="仿宋" w:cs="仿宋"/>
          <w:b/>
          <w:bCs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b/>
          <w:bCs/>
          <w:szCs w:val="32"/>
        </w:rPr>
        <w:t>附件</w:t>
      </w:r>
      <w:r>
        <w:rPr>
          <w:rStyle w:val="9"/>
          <w:rFonts w:hint="eastAsia" w:ascii="仿宋" w:hAnsi="仿宋" w:eastAsia="仿宋" w:cs="仿宋"/>
          <w:b/>
          <w:bCs/>
          <w:szCs w:val="32"/>
          <w:lang w:val="en-US"/>
        </w:rPr>
        <w:t>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9"/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bookmarkStart w:id="0" w:name="_GoBack"/>
      <w:r>
        <w:rPr>
          <w:rStyle w:val="9"/>
          <w:rFonts w:hint="eastAsia" w:ascii="仿宋" w:hAnsi="仿宋" w:eastAsia="仿宋" w:cs="仿宋"/>
          <w:b/>
          <w:bCs/>
          <w:sz w:val="36"/>
          <w:szCs w:val="36"/>
          <w:lang w:val="en-US"/>
        </w:rPr>
        <w:t>产学研和工业企业优秀创新产品奖励项目</w:t>
      </w:r>
      <w:r>
        <w:rPr>
          <w:rStyle w:val="9"/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企业名单</w:t>
      </w:r>
      <w:bookmarkEnd w:id="0"/>
    </w:p>
    <w:tbl>
      <w:tblPr>
        <w:tblStyle w:val="6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6798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企业名称及合作单位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产学研项目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福建榕基软件股份有限公司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福建特力惠信息科技股份有限公司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福建省万维新能源电力有限公司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恒鸿达科技有限公司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福建花巷营养科技股份有限公司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福建亿芯源半导体股份有限公司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福州鑫恒智海鲜池设备有限公司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闽榕茶业有限公司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福州福大自动化科技有限公司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福建慧舟信息科技有限公司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福建中信网安信息科技有限公司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福州量子中金数码技术有限公司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福建新大陆自动识别技术有限公司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福建星云电子股份有限公司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福建六壬网安股份有限公司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福建中电合创电力科技有限公司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福建绿帆医用新材料股份公司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福州新北生化工业有限公司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福州弘博工艺有限公司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福建省聚元食品股份有限公司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福建省福抗药业股份有限公司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福州万泉塑业有限公司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福清市迪川包装有限公司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福建浩蓝光电有限公司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福建歌航电子信息科技有限公司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工业企业优秀创新产品奖励项目：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福建联迪商用设备有限公司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福建奥通迈胜电力科技有限公司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福建睿能科技股份有限公司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智恒科技股份有限公司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福州钜全汽车配件有限公司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福州钜立机动车配件有限公司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福建升腾资讯有限公司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福建星网视易信息系统有限公司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福建瑞达精工股份有限公司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福建富兰光学有限公司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福州真兰水表有限公司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福建仙芝楼生物科技有限公司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福建浩达智能科技股份有限公司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福建金源泉科技发展有限公司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福建骏鹏易丰商用设备有限公司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福建实达电脑设备有限公司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福州科杰电子衡器有限公司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福建新大陆环保科技有限公司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福建佳客来食品股份有限公司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中铝瑞闽股份有限公司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福州福光电子有限公司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福建新大陆通信科技股份有限公司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福建万润新能源科技有限公司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福建联合动力机电科技有限公司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福建久策气体集团有限公司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福建省艺根新型装饰材料股份有限公司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东南（福建）汽车工业有限公司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福建金龙腾动力机械有限公司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福建福特科光电股份有限公司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福建雪人股份有限公司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长乐恒申合纤科技有限公司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福建阿石创新材料股份有限公司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丽珠集团福州福兴医药有限公司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福建晟扬管道科技有限公司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福建亚通新材料科技股份有限公司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福州京东方光电科技有限公司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福耀玻璃工业集团股份有限公司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渤海石油装备福建钢管有限公司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威尔（福建）生物有限公司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福建省马尾造船股份有限公司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福建亿达食品有限公司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</w:t>
            </w:r>
          </w:p>
        </w:tc>
      </w:tr>
    </w:tbl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0" w:right="1480" w:bottom="1420" w:left="14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975D1"/>
    <w:rsid w:val="207975D1"/>
    <w:rsid w:val="346B3C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经委正文"/>
    <w:basedOn w:val="1"/>
    <w:qFormat/>
    <w:uiPriority w:val="0"/>
    <w:pPr>
      <w:topLinePunct/>
      <w:adjustRightInd w:val="0"/>
      <w:ind w:firstLine="200" w:firstLineChars="200"/>
    </w:pPr>
    <w:rPr>
      <w:rFonts w:ascii="仿宋_GB2312" w:hAnsi="宋体" w:eastAsia="仿宋_GB2312" w:cs="宋体"/>
      <w:color w:val="000000"/>
      <w:kern w:val="0"/>
      <w:position w:val="6"/>
      <w:sz w:val="32"/>
      <w:szCs w:val="30"/>
      <w:lang w:val="zh-CN"/>
    </w:rPr>
  </w:style>
  <w:style w:type="character" w:customStyle="1" w:styleId="9">
    <w:name w:val="经委二标 Char"/>
    <w:link w:val="10"/>
    <w:qFormat/>
    <w:uiPriority w:val="0"/>
    <w:rPr>
      <w:rFonts w:ascii="楷体_GB2312" w:eastAsia="楷体_GB2312"/>
      <w:color w:val="000000"/>
      <w:kern w:val="0"/>
      <w:position w:val="6"/>
      <w:sz w:val="32"/>
      <w:szCs w:val="30"/>
      <w:lang w:val="zh-CN"/>
    </w:rPr>
  </w:style>
  <w:style w:type="paragraph" w:customStyle="1" w:styleId="10">
    <w:name w:val="经委二标"/>
    <w:basedOn w:val="1"/>
    <w:link w:val="9"/>
    <w:qFormat/>
    <w:uiPriority w:val="0"/>
    <w:pPr>
      <w:topLinePunct/>
      <w:adjustRightInd w:val="0"/>
      <w:ind w:firstLine="200" w:firstLineChars="200"/>
      <w:jc w:val="left"/>
    </w:pPr>
    <w:rPr>
      <w:rFonts w:ascii="楷体_GB2312" w:eastAsia="楷体_GB2312"/>
      <w:color w:val="000000"/>
      <w:kern w:val="0"/>
      <w:position w:val="6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2018-08-06T02:30:00Z</dcterms:created>
  <dc:creator>陈欢</dc:creator>
  <cp:lastModifiedBy>Administrator</cp:lastModifiedBy>
  <dcterms:modified xsi:type="dcterms:W3CDTF">2018-08-16T02:44:55Z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