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Cs/>
          <w:color w:val="auto"/>
          <w:sz w:val="32"/>
          <w:szCs w:val="32"/>
        </w:rPr>
      </w:pPr>
      <w:bookmarkStart w:id="0" w:name="_GoBack"/>
      <w:bookmarkEnd w:id="0"/>
      <w:r>
        <w:rPr>
          <w:rFonts w:hint="eastAsia" w:ascii="黑体" w:hAnsi="黑体" w:eastAsia="黑体" w:cs="黑体"/>
          <w:bCs/>
          <w:color w:val="auto"/>
          <w:sz w:val="32"/>
          <w:szCs w:val="32"/>
        </w:rPr>
        <w:t>附件</w:t>
      </w: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w w:val="90"/>
          <w:sz w:val="44"/>
          <w:szCs w:val="44"/>
          <w:lang w:eastAsia="zh-CN"/>
        </w:rPr>
      </w:pPr>
      <w:r>
        <w:rPr>
          <w:rFonts w:hint="eastAsia" w:ascii="方正小标宋简体" w:hAnsi="方正小标宋简体" w:eastAsia="方正小标宋简体" w:cs="方正小标宋简体"/>
          <w:b w:val="0"/>
          <w:bCs w:val="0"/>
          <w:color w:val="auto"/>
          <w:w w:val="90"/>
          <w:sz w:val="44"/>
          <w:szCs w:val="44"/>
          <w:lang w:eastAsia="zh-CN"/>
        </w:rPr>
        <w:t>202</w:t>
      </w:r>
      <w:r>
        <w:rPr>
          <w:rFonts w:hint="eastAsia" w:ascii="方正小标宋简体" w:hAnsi="方正小标宋简体" w:eastAsia="方正小标宋简体" w:cs="方正小标宋简体"/>
          <w:b w:val="0"/>
          <w:bCs w:val="0"/>
          <w:color w:val="auto"/>
          <w:w w:val="90"/>
          <w:sz w:val="44"/>
          <w:szCs w:val="44"/>
          <w:lang w:val="en-US" w:eastAsia="zh-CN"/>
        </w:rPr>
        <w:t>5</w:t>
      </w:r>
      <w:r>
        <w:rPr>
          <w:rFonts w:hint="eastAsia" w:ascii="方正小标宋简体" w:hAnsi="方正小标宋简体" w:eastAsia="方正小标宋简体" w:cs="方正小标宋简体"/>
          <w:b w:val="0"/>
          <w:bCs w:val="0"/>
          <w:color w:val="auto"/>
          <w:w w:val="90"/>
          <w:sz w:val="44"/>
          <w:szCs w:val="44"/>
          <w:lang w:eastAsia="zh-CN"/>
        </w:rPr>
        <w:t>年福建省科技计划引导性项目清单</w:t>
      </w:r>
    </w:p>
    <w:tbl>
      <w:tblPr>
        <w:tblStyle w:val="7"/>
        <w:tblpPr w:leftFromText="180" w:rightFromText="180" w:vertAnchor="text" w:horzAnchor="page" w:tblpX="1491" w:tblpY="597"/>
        <w:tblOverlap w:val="never"/>
        <w:tblW w:w="14680" w:type="dxa"/>
        <w:tblInd w:w="0" w:type="dxa"/>
        <w:tblLayout w:type="fixed"/>
        <w:tblCellMar>
          <w:top w:w="15" w:type="dxa"/>
          <w:left w:w="108" w:type="dxa"/>
          <w:bottom w:w="15" w:type="dxa"/>
          <w:right w:w="108" w:type="dxa"/>
        </w:tblCellMar>
      </w:tblPr>
      <w:tblGrid>
        <w:gridCol w:w="775"/>
        <w:gridCol w:w="6180"/>
        <w:gridCol w:w="1496"/>
        <w:gridCol w:w="2344"/>
        <w:gridCol w:w="2490"/>
        <w:gridCol w:w="1395"/>
      </w:tblGrid>
      <w:tr>
        <w:tblPrEx>
          <w:tblCellMar>
            <w:top w:w="15" w:type="dxa"/>
            <w:left w:w="108" w:type="dxa"/>
            <w:bottom w:w="15" w:type="dxa"/>
            <w:right w:w="108" w:type="dxa"/>
          </w:tblCellMar>
        </w:tblPrEx>
        <w:trPr>
          <w:trHeight w:val="1071" w:hRule="atLeast"/>
          <w:tblHeader/>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b/>
                <w:color w:val="auto"/>
                <w:kern w:val="0"/>
                <w:sz w:val="24"/>
                <w:szCs w:val="24"/>
              </w:rPr>
            </w:pPr>
            <w:r>
              <w:rPr>
                <w:rFonts w:hint="eastAsia" w:ascii="华文仿宋" w:hAnsi="华文仿宋" w:eastAsia="华文仿宋" w:cs="华文仿宋"/>
                <w:b/>
                <w:color w:val="auto"/>
                <w:kern w:val="0"/>
                <w:sz w:val="24"/>
                <w:szCs w:val="24"/>
              </w:rPr>
              <w:t>序号</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b/>
                <w:color w:val="auto"/>
                <w:kern w:val="0"/>
                <w:sz w:val="24"/>
                <w:szCs w:val="24"/>
              </w:rPr>
            </w:pPr>
            <w:r>
              <w:rPr>
                <w:rFonts w:hint="eastAsia" w:ascii="华文仿宋" w:hAnsi="华文仿宋" w:eastAsia="华文仿宋" w:cs="华文仿宋"/>
                <w:b/>
                <w:color w:val="auto"/>
                <w:kern w:val="0"/>
                <w:sz w:val="24"/>
                <w:szCs w:val="24"/>
              </w:rPr>
              <w:t>项目名称</w:t>
            </w:r>
          </w:p>
        </w:tc>
        <w:tc>
          <w:tcPr>
            <w:tcW w:w="14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b/>
                <w:color w:val="auto"/>
                <w:kern w:val="0"/>
                <w:sz w:val="24"/>
                <w:szCs w:val="24"/>
                <w:lang w:eastAsia="zh-CN"/>
              </w:rPr>
            </w:pPr>
            <w:r>
              <w:rPr>
                <w:rFonts w:hint="eastAsia" w:ascii="华文仿宋" w:hAnsi="华文仿宋" w:eastAsia="华文仿宋" w:cs="华文仿宋"/>
                <w:b/>
                <w:color w:val="auto"/>
                <w:kern w:val="0"/>
                <w:sz w:val="24"/>
                <w:szCs w:val="24"/>
                <w:lang w:eastAsia="zh-CN"/>
              </w:rPr>
              <w:t>起止年限</w:t>
            </w:r>
          </w:p>
        </w:tc>
        <w:tc>
          <w:tcPr>
            <w:tcW w:w="234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b/>
                <w:color w:val="auto"/>
                <w:kern w:val="0"/>
                <w:sz w:val="24"/>
                <w:szCs w:val="24"/>
              </w:rPr>
            </w:pPr>
            <w:r>
              <w:rPr>
                <w:rFonts w:hint="eastAsia" w:ascii="华文仿宋" w:hAnsi="华文仿宋" w:eastAsia="华文仿宋" w:cs="华文仿宋"/>
                <w:b/>
                <w:color w:val="auto"/>
                <w:kern w:val="0"/>
                <w:sz w:val="24"/>
                <w:szCs w:val="24"/>
                <w:lang w:eastAsia="zh-CN"/>
              </w:rPr>
              <w:t>牵头</w:t>
            </w:r>
            <w:r>
              <w:rPr>
                <w:rFonts w:hint="eastAsia" w:ascii="华文仿宋" w:hAnsi="华文仿宋" w:eastAsia="华文仿宋" w:cs="华文仿宋"/>
                <w:b/>
                <w:color w:val="auto"/>
                <w:kern w:val="0"/>
                <w:sz w:val="24"/>
                <w:szCs w:val="24"/>
              </w:rPr>
              <w:t>单位</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b/>
                <w:color w:val="auto"/>
                <w:kern w:val="0"/>
                <w:sz w:val="24"/>
                <w:szCs w:val="24"/>
                <w:lang w:eastAsia="zh-CN"/>
              </w:rPr>
            </w:pPr>
            <w:r>
              <w:rPr>
                <w:rFonts w:hint="eastAsia" w:ascii="华文仿宋" w:hAnsi="华文仿宋" w:eastAsia="华文仿宋" w:cs="华文仿宋"/>
                <w:b/>
                <w:color w:val="auto"/>
                <w:kern w:val="0"/>
                <w:sz w:val="24"/>
                <w:szCs w:val="24"/>
                <w:lang w:eastAsia="zh-CN"/>
              </w:rPr>
              <w:t>合作单位</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b/>
                <w:color w:val="auto"/>
                <w:kern w:val="0"/>
                <w:sz w:val="24"/>
                <w:szCs w:val="24"/>
                <w:lang w:val="en-US" w:eastAsia="zh-CN"/>
              </w:rPr>
            </w:pPr>
            <w:r>
              <w:rPr>
                <w:rFonts w:hint="eastAsia" w:ascii="华文仿宋" w:hAnsi="华文仿宋" w:eastAsia="华文仿宋" w:cs="华文仿宋"/>
                <w:b/>
                <w:color w:val="auto"/>
                <w:kern w:val="0"/>
                <w:sz w:val="24"/>
                <w:szCs w:val="24"/>
                <w:lang w:eastAsia="zh-CN"/>
              </w:rPr>
              <w:t>课题</w:t>
            </w: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b/>
                <w:color w:val="auto"/>
                <w:kern w:val="0"/>
                <w:sz w:val="24"/>
                <w:szCs w:val="24"/>
                <w:lang w:eastAsia="zh-CN"/>
              </w:rPr>
            </w:pPr>
            <w:r>
              <w:rPr>
                <w:rFonts w:hint="eastAsia" w:ascii="华文仿宋" w:hAnsi="华文仿宋" w:eastAsia="华文仿宋" w:cs="华文仿宋"/>
                <w:b/>
                <w:color w:val="auto"/>
                <w:kern w:val="0"/>
                <w:sz w:val="24"/>
                <w:szCs w:val="24"/>
                <w:lang w:eastAsia="zh-CN"/>
              </w:rPr>
              <w:t>负责人</w:t>
            </w:r>
          </w:p>
        </w:tc>
      </w:tr>
      <w:tr>
        <w:tblPrEx>
          <w:tblCellMar>
            <w:top w:w="15" w:type="dxa"/>
            <w:left w:w="108" w:type="dxa"/>
            <w:bottom w:w="15" w:type="dxa"/>
            <w:right w:w="108" w:type="dxa"/>
          </w:tblCellMar>
        </w:tblPrEx>
        <w:trPr>
          <w:trHeight w:val="895"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color w:val="auto"/>
                <w:kern w:val="0"/>
                <w:sz w:val="24"/>
                <w:szCs w:val="24"/>
                <w:lang w:val="en-US" w:eastAsia="zh-CN" w:bidi="ar-SA"/>
              </w:rPr>
            </w:pPr>
            <w:r>
              <w:rPr>
                <w:rFonts w:hint="eastAsia" w:ascii="华文仿宋" w:hAnsi="华文仿宋" w:eastAsia="华文仿宋" w:cs="华文仿宋"/>
                <w:color w:val="auto"/>
                <w:kern w:val="0"/>
                <w:sz w:val="24"/>
                <w:szCs w:val="24"/>
                <w:lang w:val="en-US" w:eastAsia="zh-CN"/>
              </w:rPr>
              <w:t>1</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华文仿宋" w:hAnsi="华文仿宋" w:eastAsia="华文仿宋" w:cs="华文仿宋"/>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冷诱导RNA结合蛋白（CIRP）在脑缺血再灌注后经GasderminD孔道释放及其对细胞外囊泡介导的旁观细胞裂解性死亡的影响</w:t>
            </w:r>
          </w:p>
        </w:tc>
        <w:tc>
          <w:tcPr>
            <w:tcW w:w="14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华文仿宋" w:hAnsi="华文仿宋" w:eastAsia="华文仿宋" w:cs="华文仿宋"/>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2025/2028</w:t>
            </w:r>
          </w:p>
        </w:tc>
        <w:tc>
          <w:tcPr>
            <w:tcW w:w="234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福州市第一总医院</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华文仿宋" w:hAnsi="华文仿宋" w:eastAsia="华文仿宋" w:cs="华文仿宋"/>
                <w:i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范勇</w:t>
            </w:r>
          </w:p>
        </w:tc>
      </w:tr>
      <w:tr>
        <w:tblPrEx>
          <w:tblCellMar>
            <w:top w:w="15" w:type="dxa"/>
            <w:left w:w="108" w:type="dxa"/>
            <w:bottom w:w="15" w:type="dxa"/>
            <w:right w:w="108" w:type="dxa"/>
          </w:tblCellMar>
        </w:tblPrEx>
        <w:trPr>
          <w:trHeight w:val="726"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color w:val="auto"/>
                <w:kern w:val="0"/>
                <w:sz w:val="24"/>
                <w:szCs w:val="24"/>
                <w:lang w:eastAsia="zh-CN"/>
              </w:rPr>
            </w:pPr>
            <w:r>
              <w:rPr>
                <w:rFonts w:hint="eastAsia" w:ascii="华文仿宋" w:hAnsi="华文仿宋" w:eastAsia="华文仿宋" w:cs="华文仿宋"/>
                <w:color w:val="auto"/>
                <w:kern w:val="0"/>
                <w:sz w:val="24"/>
                <w:szCs w:val="24"/>
                <w:lang w:val="en-US" w:eastAsia="zh-CN"/>
              </w:rPr>
              <w:t>2</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多功能纳米配位聚合物在着色霉感染中的应用研究</w:t>
            </w:r>
          </w:p>
        </w:tc>
        <w:tc>
          <w:tcPr>
            <w:tcW w:w="14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2025/2028</w:t>
            </w:r>
          </w:p>
        </w:tc>
        <w:tc>
          <w:tcPr>
            <w:tcW w:w="234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福州市第一总医院</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lang w:eastAsia="zh-CN"/>
              </w:rPr>
            </w:pPr>
            <w:r>
              <w:rPr>
                <w:rFonts w:hint="eastAsia" w:ascii="宋体" w:hAnsi="宋体" w:eastAsia="宋体" w:cs="宋体"/>
                <w:i w:val="0"/>
                <w:iCs w:val="0"/>
                <w:color w:val="000000"/>
                <w:kern w:val="0"/>
                <w:sz w:val="24"/>
                <w:szCs w:val="24"/>
                <w:u w:val="none"/>
                <w:lang w:val="en-US" w:eastAsia="zh-CN" w:bidi="ar"/>
              </w:rPr>
              <w:t>福州大学材料科学与工程学院</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冯臻</w:t>
            </w:r>
          </w:p>
        </w:tc>
      </w:tr>
      <w:tr>
        <w:tblPrEx>
          <w:tblCellMar>
            <w:top w:w="15" w:type="dxa"/>
            <w:left w:w="108" w:type="dxa"/>
            <w:bottom w:w="15" w:type="dxa"/>
            <w:right w:w="108" w:type="dxa"/>
          </w:tblCellMar>
        </w:tblPrEx>
        <w:trPr>
          <w:trHeight w:val="850"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color w:val="auto"/>
                <w:kern w:val="0"/>
                <w:sz w:val="24"/>
                <w:szCs w:val="24"/>
                <w:lang w:val="en-US" w:eastAsia="zh-CN" w:bidi="ar-SA"/>
              </w:rPr>
            </w:pPr>
            <w:r>
              <w:rPr>
                <w:rFonts w:hint="eastAsia" w:ascii="华文仿宋" w:hAnsi="华文仿宋" w:eastAsia="华文仿宋" w:cs="华文仿宋"/>
                <w:color w:val="auto"/>
                <w:kern w:val="0"/>
                <w:sz w:val="24"/>
                <w:szCs w:val="24"/>
                <w:lang w:val="en-US" w:eastAsia="zh-CN"/>
              </w:rPr>
              <w:t>3</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外泌体蛋白差异表达联合影像组学建立早期预警进展性肺纤维化的模型及临床应用</w:t>
            </w:r>
          </w:p>
        </w:tc>
        <w:tc>
          <w:tcPr>
            <w:tcW w:w="14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2025/2028</w:t>
            </w:r>
          </w:p>
        </w:tc>
        <w:tc>
          <w:tcPr>
            <w:tcW w:w="234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福建省福州肺科医院</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福建医科大学医学技术与工程学院</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张宏英</w:t>
            </w:r>
          </w:p>
        </w:tc>
      </w:tr>
      <w:tr>
        <w:tblPrEx>
          <w:tblCellMar>
            <w:top w:w="15" w:type="dxa"/>
            <w:left w:w="108" w:type="dxa"/>
            <w:bottom w:w="15" w:type="dxa"/>
            <w:right w:w="108" w:type="dxa"/>
          </w:tblCellMar>
        </w:tblPrEx>
        <w:trPr>
          <w:trHeight w:val="915"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color w:val="auto"/>
                <w:kern w:val="0"/>
                <w:sz w:val="24"/>
                <w:szCs w:val="24"/>
                <w:lang w:val="en-US" w:eastAsia="zh-CN" w:bidi="ar-SA"/>
              </w:rPr>
            </w:pPr>
            <w:r>
              <w:rPr>
                <w:rFonts w:hint="eastAsia" w:ascii="华文仿宋" w:hAnsi="华文仿宋" w:eastAsia="华文仿宋" w:cs="华文仿宋"/>
                <w:color w:val="auto"/>
                <w:kern w:val="0"/>
                <w:sz w:val="24"/>
                <w:szCs w:val="24"/>
                <w:lang w:val="en-US" w:eastAsia="zh-CN"/>
              </w:rPr>
              <w:t>4</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华文仿宋" w:hAnsi="华文仿宋" w:eastAsia="华文仿宋" w:cs="华文仿宋"/>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TNF-α通过NF-κB通路激活巨噬细胞调控ADAMTSL1基因对颅内动脉瘤形成的影响</w:t>
            </w:r>
          </w:p>
        </w:tc>
        <w:tc>
          <w:tcPr>
            <w:tcW w:w="14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2025/2028</w:t>
            </w:r>
          </w:p>
        </w:tc>
        <w:tc>
          <w:tcPr>
            <w:tcW w:w="234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福州市第二总医院</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华文仿宋" w:hAnsi="华文仿宋" w:eastAsia="华文仿宋" w:cs="华文仿宋"/>
                <w:color w:val="auto"/>
                <w:kern w:val="0"/>
                <w:sz w:val="24"/>
                <w:szCs w:val="24"/>
              </w:rPr>
            </w:pP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郑霖飞</w:t>
            </w:r>
          </w:p>
        </w:tc>
      </w:tr>
      <w:tr>
        <w:tblPrEx>
          <w:tblCellMar>
            <w:top w:w="15" w:type="dxa"/>
            <w:left w:w="108" w:type="dxa"/>
            <w:bottom w:w="15" w:type="dxa"/>
            <w:right w:w="108" w:type="dxa"/>
          </w:tblCellMar>
        </w:tblPrEx>
        <w:trPr>
          <w:trHeight w:val="709"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华文仿宋" w:hAnsi="华文仿宋" w:eastAsia="华文仿宋" w:cs="华文仿宋"/>
                <w:color w:val="auto"/>
                <w:kern w:val="0"/>
                <w:sz w:val="24"/>
                <w:szCs w:val="24"/>
                <w:lang w:val="en-US" w:eastAsia="zh-CN" w:bidi="ar-SA"/>
              </w:rPr>
            </w:pPr>
            <w:r>
              <w:rPr>
                <w:rFonts w:hint="eastAsia" w:ascii="华文仿宋" w:hAnsi="华文仿宋" w:eastAsia="华文仿宋" w:cs="华文仿宋"/>
                <w:color w:val="auto"/>
                <w:kern w:val="0"/>
                <w:sz w:val="24"/>
                <w:szCs w:val="24"/>
                <w:lang w:val="en-US" w:eastAsia="zh-CN"/>
              </w:rPr>
              <w:t>5</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华文仿宋" w:hAnsi="华文仿宋" w:eastAsia="华文仿宋" w:cs="华文仿宋"/>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基于DeepSeek大模型与知识图谱技术的智能职业健康检查和质控系统研发</w:t>
            </w:r>
          </w:p>
        </w:tc>
        <w:tc>
          <w:tcPr>
            <w:tcW w:w="14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2025/2028</w:t>
            </w:r>
          </w:p>
        </w:tc>
        <w:tc>
          <w:tcPr>
            <w:tcW w:w="234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福州市疾病预防控制中心</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福州市福能健康科技有限公司</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华文仿宋" w:hAnsi="华文仿宋" w:eastAsia="华文仿宋" w:cs="华文仿宋"/>
                <w:color w:val="auto"/>
                <w:kern w:val="0"/>
                <w:sz w:val="24"/>
                <w:szCs w:val="24"/>
              </w:rPr>
            </w:pPr>
            <w:r>
              <w:rPr>
                <w:rFonts w:hint="eastAsia" w:ascii="宋体" w:hAnsi="宋体" w:eastAsia="宋体" w:cs="宋体"/>
                <w:i w:val="0"/>
                <w:iCs w:val="0"/>
                <w:color w:val="000000"/>
                <w:kern w:val="0"/>
                <w:sz w:val="24"/>
                <w:szCs w:val="24"/>
                <w:u w:val="none"/>
                <w:lang w:val="en-US" w:eastAsia="zh-CN" w:bidi="ar"/>
              </w:rPr>
              <w:t>沈波</w:t>
            </w:r>
          </w:p>
        </w:tc>
      </w:tr>
    </w:tbl>
    <w:p>
      <w:pPr>
        <w:keepNext w:val="0"/>
        <w:keepLines w:val="0"/>
        <w:pageBreakBefore w:val="0"/>
        <w:kinsoku/>
        <w:wordWrap/>
        <w:overflowPunct/>
        <w:topLinePunct w:val="0"/>
        <w:autoSpaceDE/>
        <w:autoSpaceDN/>
        <w:bidi w:val="0"/>
        <w:adjustRightInd/>
        <w:snapToGrid/>
        <w:spacing w:line="520" w:lineRule="exact"/>
        <w:rPr>
          <w:rFonts w:hint="eastAsia" w:ascii="华文仿宋" w:hAnsi="华文仿宋" w:eastAsia="华文仿宋" w:cs="华文仿宋"/>
          <w:sz w:val="24"/>
          <w:szCs w:val="24"/>
          <w:lang w:val="en-US" w:eastAsia="zh-CN"/>
        </w:rPr>
      </w:pPr>
    </w:p>
    <w:sectPr>
      <w:headerReference r:id="rId3" w:type="default"/>
      <w:footerReference r:id="rId4" w:type="default"/>
      <w:pgSz w:w="16838" w:h="11906" w:orient="landscape"/>
      <w:pgMar w:top="1576" w:right="1440" w:bottom="1519" w:left="138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21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NmE0YjY0MTRjNWQ2YjU0NTk3YTAzNjEzOGUxN2EifQ=="/>
  </w:docVars>
  <w:rsids>
    <w:rsidRoot w:val="00941D3B"/>
    <w:rsid w:val="002238AA"/>
    <w:rsid w:val="00941D3B"/>
    <w:rsid w:val="009D00E3"/>
    <w:rsid w:val="00AC0DB7"/>
    <w:rsid w:val="00DB1895"/>
    <w:rsid w:val="051B1DCE"/>
    <w:rsid w:val="07455716"/>
    <w:rsid w:val="0C9B0316"/>
    <w:rsid w:val="0FAD13A9"/>
    <w:rsid w:val="0FBFDA9F"/>
    <w:rsid w:val="0FDFFD2E"/>
    <w:rsid w:val="17C33577"/>
    <w:rsid w:val="1ACE48D5"/>
    <w:rsid w:val="1B6D7C46"/>
    <w:rsid w:val="1B7FE4F9"/>
    <w:rsid w:val="1BFD6E15"/>
    <w:rsid w:val="1E7F35F2"/>
    <w:rsid w:val="1EECA8FB"/>
    <w:rsid w:val="1FF910B7"/>
    <w:rsid w:val="22CFFA20"/>
    <w:rsid w:val="24134E54"/>
    <w:rsid w:val="2521198A"/>
    <w:rsid w:val="25726278"/>
    <w:rsid w:val="29A2784F"/>
    <w:rsid w:val="2ABFD5BF"/>
    <w:rsid w:val="2ADF4415"/>
    <w:rsid w:val="2D1FC609"/>
    <w:rsid w:val="30462DCE"/>
    <w:rsid w:val="33FF161C"/>
    <w:rsid w:val="35474A4C"/>
    <w:rsid w:val="363F909D"/>
    <w:rsid w:val="3B7F10CA"/>
    <w:rsid w:val="3BCC64CA"/>
    <w:rsid w:val="3DDF1A63"/>
    <w:rsid w:val="3DFF74BA"/>
    <w:rsid w:val="3E8F4BC3"/>
    <w:rsid w:val="3EF3BFF9"/>
    <w:rsid w:val="3F59ADA5"/>
    <w:rsid w:val="3FE64EDD"/>
    <w:rsid w:val="3FF3B941"/>
    <w:rsid w:val="3FF7A4F4"/>
    <w:rsid w:val="3FFDC7CE"/>
    <w:rsid w:val="3FFE84BF"/>
    <w:rsid w:val="44BD096F"/>
    <w:rsid w:val="44EBDC59"/>
    <w:rsid w:val="46FFCF78"/>
    <w:rsid w:val="4B7E2309"/>
    <w:rsid w:val="4BBC0BE8"/>
    <w:rsid w:val="4BFE6302"/>
    <w:rsid w:val="4FE55B2C"/>
    <w:rsid w:val="4FF4071E"/>
    <w:rsid w:val="53DF15D4"/>
    <w:rsid w:val="53F56418"/>
    <w:rsid w:val="55FAD689"/>
    <w:rsid w:val="55FD00CF"/>
    <w:rsid w:val="579FBA78"/>
    <w:rsid w:val="57BB711B"/>
    <w:rsid w:val="57E9350B"/>
    <w:rsid w:val="57EF262A"/>
    <w:rsid w:val="57FA83FB"/>
    <w:rsid w:val="5A5F1CC0"/>
    <w:rsid w:val="5BBBF5A9"/>
    <w:rsid w:val="5BE9086E"/>
    <w:rsid w:val="5BF717AB"/>
    <w:rsid w:val="5C2F6F1C"/>
    <w:rsid w:val="5DDF18E6"/>
    <w:rsid w:val="5FB223E5"/>
    <w:rsid w:val="62856B55"/>
    <w:rsid w:val="65BF8E84"/>
    <w:rsid w:val="6B5E194D"/>
    <w:rsid w:val="6B7F22C0"/>
    <w:rsid w:val="6BBD6C4E"/>
    <w:rsid w:val="6BDBD971"/>
    <w:rsid w:val="6D4F645F"/>
    <w:rsid w:val="6EB70F1C"/>
    <w:rsid w:val="6ED8069A"/>
    <w:rsid w:val="6F2258D2"/>
    <w:rsid w:val="6F7F963E"/>
    <w:rsid w:val="6FAD72FD"/>
    <w:rsid w:val="6FEA5B45"/>
    <w:rsid w:val="6FF985B8"/>
    <w:rsid w:val="6FFFCE4A"/>
    <w:rsid w:val="727F9764"/>
    <w:rsid w:val="73540F34"/>
    <w:rsid w:val="736FE0B9"/>
    <w:rsid w:val="73D05F91"/>
    <w:rsid w:val="73F81BF0"/>
    <w:rsid w:val="73FE21BE"/>
    <w:rsid w:val="73FF8C28"/>
    <w:rsid w:val="749FE61A"/>
    <w:rsid w:val="74F5B740"/>
    <w:rsid w:val="74F9DCA3"/>
    <w:rsid w:val="75FFD92F"/>
    <w:rsid w:val="769644F6"/>
    <w:rsid w:val="769B20EE"/>
    <w:rsid w:val="76C92913"/>
    <w:rsid w:val="76FEBD9A"/>
    <w:rsid w:val="774F0C34"/>
    <w:rsid w:val="775E387F"/>
    <w:rsid w:val="77B7B57F"/>
    <w:rsid w:val="77F7C780"/>
    <w:rsid w:val="77FFF304"/>
    <w:rsid w:val="79FF0AA8"/>
    <w:rsid w:val="7B6A2FC1"/>
    <w:rsid w:val="7B7DB21B"/>
    <w:rsid w:val="7B964260"/>
    <w:rsid w:val="7BE575E9"/>
    <w:rsid w:val="7C6CF145"/>
    <w:rsid w:val="7CAFF3B2"/>
    <w:rsid w:val="7DDF698E"/>
    <w:rsid w:val="7E764093"/>
    <w:rsid w:val="7E7B9EA1"/>
    <w:rsid w:val="7EBF9743"/>
    <w:rsid w:val="7F3F3385"/>
    <w:rsid w:val="7F6C9D4B"/>
    <w:rsid w:val="7F6FB91C"/>
    <w:rsid w:val="7F70E5B0"/>
    <w:rsid w:val="7F776211"/>
    <w:rsid w:val="7F7BB805"/>
    <w:rsid w:val="7F7DF364"/>
    <w:rsid w:val="7F9E21E0"/>
    <w:rsid w:val="7FAC6AEE"/>
    <w:rsid w:val="7FAF5EBE"/>
    <w:rsid w:val="7FEFB999"/>
    <w:rsid w:val="7FFE9CC4"/>
    <w:rsid w:val="7FFF1B13"/>
    <w:rsid w:val="7FFF20BD"/>
    <w:rsid w:val="7FFFB422"/>
    <w:rsid w:val="80FF1226"/>
    <w:rsid w:val="84FB9126"/>
    <w:rsid w:val="8F566B64"/>
    <w:rsid w:val="97F6FD1A"/>
    <w:rsid w:val="9A37020E"/>
    <w:rsid w:val="9F562C9A"/>
    <w:rsid w:val="9F5D7AAB"/>
    <w:rsid w:val="A7E6F7F7"/>
    <w:rsid w:val="ADDF71D8"/>
    <w:rsid w:val="AF3FF5E1"/>
    <w:rsid w:val="B76EF3D6"/>
    <w:rsid w:val="BBFB6999"/>
    <w:rsid w:val="BDEF1A1A"/>
    <w:rsid w:val="BE7968F2"/>
    <w:rsid w:val="BF2F9E22"/>
    <w:rsid w:val="BF5EE0F3"/>
    <w:rsid w:val="BFDD53F2"/>
    <w:rsid w:val="BFE37973"/>
    <w:rsid w:val="BFFF271A"/>
    <w:rsid w:val="BFFF9254"/>
    <w:rsid w:val="C1FFD3E3"/>
    <w:rsid w:val="C59F25D3"/>
    <w:rsid w:val="C66FA104"/>
    <w:rsid w:val="C7F13935"/>
    <w:rsid w:val="C7F79100"/>
    <w:rsid w:val="CBFC316C"/>
    <w:rsid w:val="CF4646CD"/>
    <w:rsid w:val="CF7FE072"/>
    <w:rsid w:val="CFE6E37B"/>
    <w:rsid w:val="D1FE97CE"/>
    <w:rsid w:val="D3EBE0A0"/>
    <w:rsid w:val="D49D8852"/>
    <w:rsid w:val="D62DF080"/>
    <w:rsid w:val="D63EFB27"/>
    <w:rsid w:val="D79F5480"/>
    <w:rsid w:val="D7DB5BC3"/>
    <w:rsid w:val="D7E0D888"/>
    <w:rsid w:val="D7EDEDBA"/>
    <w:rsid w:val="DBFBF7E9"/>
    <w:rsid w:val="DBFF893A"/>
    <w:rsid w:val="DDBE4177"/>
    <w:rsid w:val="DDFB7015"/>
    <w:rsid w:val="DF6F08F8"/>
    <w:rsid w:val="DFFD2209"/>
    <w:rsid w:val="DFFEAB0E"/>
    <w:rsid w:val="DFFF9E18"/>
    <w:rsid w:val="E5BABC3B"/>
    <w:rsid w:val="E5FD8E60"/>
    <w:rsid w:val="E79CBD24"/>
    <w:rsid w:val="EBDFC5F0"/>
    <w:rsid w:val="EBF52E7B"/>
    <w:rsid w:val="ECFA0191"/>
    <w:rsid w:val="EDBFC6B4"/>
    <w:rsid w:val="EDDEF4A8"/>
    <w:rsid w:val="EE6BEA46"/>
    <w:rsid w:val="EEF31A42"/>
    <w:rsid w:val="EEF9E5E3"/>
    <w:rsid w:val="EF6E62F2"/>
    <w:rsid w:val="EF7F9126"/>
    <w:rsid w:val="EFB764E1"/>
    <w:rsid w:val="EFCF2724"/>
    <w:rsid w:val="EFEBC151"/>
    <w:rsid w:val="EFED4C52"/>
    <w:rsid w:val="EFFF0241"/>
    <w:rsid w:val="F335DEC2"/>
    <w:rsid w:val="F5991576"/>
    <w:rsid w:val="F5F39988"/>
    <w:rsid w:val="F7CFCAF3"/>
    <w:rsid w:val="F7DF862B"/>
    <w:rsid w:val="F7E0904A"/>
    <w:rsid w:val="F7F7DA21"/>
    <w:rsid w:val="F7FFD36D"/>
    <w:rsid w:val="F8F37FBA"/>
    <w:rsid w:val="F8FF1DA1"/>
    <w:rsid w:val="F93BED95"/>
    <w:rsid w:val="F97F2429"/>
    <w:rsid w:val="F9DF1F30"/>
    <w:rsid w:val="F9FF5837"/>
    <w:rsid w:val="FAC73BAE"/>
    <w:rsid w:val="FADE92FA"/>
    <w:rsid w:val="FAFBEDEA"/>
    <w:rsid w:val="FAFFD44D"/>
    <w:rsid w:val="FB7B3DC5"/>
    <w:rsid w:val="FBFF9FDB"/>
    <w:rsid w:val="FD1E83F0"/>
    <w:rsid w:val="FD2FCDAE"/>
    <w:rsid w:val="FD9FA805"/>
    <w:rsid w:val="FDF18E38"/>
    <w:rsid w:val="FDF71FB9"/>
    <w:rsid w:val="FDFE6B60"/>
    <w:rsid w:val="FE5991EA"/>
    <w:rsid w:val="FE9E7BB3"/>
    <w:rsid w:val="FEB716AA"/>
    <w:rsid w:val="FED73252"/>
    <w:rsid w:val="FED756B1"/>
    <w:rsid w:val="FED7C7AE"/>
    <w:rsid w:val="FEE8E306"/>
    <w:rsid w:val="FF4F0A63"/>
    <w:rsid w:val="FF5A7F62"/>
    <w:rsid w:val="FF7723E5"/>
    <w:rsid w:val="FF9F8E8F"/>
    <w:rsid w:val="FFBF4C72"/>
    <w:rsid w:val="FFBFBB59"/>
    <w:rsid w:val="FFF39CA6"/>
    <w:rsid w:val="FFFD01C7"/>
    <w:rsid w:val="FFFD4AD9"/>
    <w:rsid w:val="FFFEFB7F"/>
    <w:rsid w:val="FFFF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link w:val="10"/>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link w:val="12"/>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w:basedOn w:val="1"/>
    <w:link w:val="9"/>
    <w:semiHidden/>
    <w:qFormat/>
    <w:uiPriority w:val="0"/>
  </w:style>
  <w:style w:type="character" w:styleId="11">
    <w:name w:val="page number"/>
    <w:basedOn w:val="9"/>
    <w:qFormat/>
    <w:uiPriority w:val="0"/>
  </w:style>
  <w:style w:type="character" w:customStyle="1" w:styleId="12">
    <w:name w:val="批注框文本 Char"/>
    <w:basedOn w:val="9"/>
    <w:link w:val="2"/>
    <w:semiHidden/>
    <w:qFormat/>
    <w:uiPriority w:val="99"/>
    <w:rPr>
      <w:sz w:val="18"/>
      <w:szCs w:val="18"/>
    </w:rPr>
  </w:style>
  <w:style w:type="character" w:customStyle="1" w:styleId="13">
    <w:name w:val="页眉 Char"/>
    <w:basedOn w:val="9"/>
    <w:link w:val="4"/>
    <w:qFormat/>
    <w:uiPriority w:val="99"/>
    <w:rPr>
      <w:sz w:val="18"/>
      <w:szCs w:val="18"/>
    </w:rPr>
  </w:style>
  <w:style w:type="character" w:customStyle="1" w:styleId="14">
    <w:name w:val="页脚 Char"/>
    <w:basedOn w:val="9"/>
    <w:link w:val="3"/>
    <w:qFormat/>
    <w:uiPriority w:val="99"/>
    <w:rPr>
      <w:sz w:val="18"/>
      <w:szCs w:val="18"/>
    </w:rPr>
  </w:style>
  <w:style w:type="character" w:customStyle="1" w:styleId="15">
    <w:name w:val="NormalCharacter"/>
    <w:link w:val="16"/>
    <w:qFormat/>
    <w:uiPriority w:val="0"/>
    <w:rPr>
      <w:rFonts w:ascii="Verdana" w:hAnsi="Verdana" w:eastAsia="宋体" w:cs="Times New Roman"/>
      <w:kern w:val="0"/>
      <w:sz w:val="20"/>
      <w:szCs w:val="20"/>
      <w:lang w:val="en-US" w:eastAsia="en-US" w:bidi="ar-SA"/>
    </w:rPr>
  </w:style>
  <w:style w:type="paragraph" w:customStyle="1" w:styleId="16">
    <w:name w:val="UserStyle_19"/>
    <w:link w:val="15"/>
    <w:qFormat/>
    <w:uiPriority w:val="0"/>
    <w:pPr>
      <w:widowControl w:val="0"/>
      <w:spacing w:after="160" w:line="400" w:lineRule="exact"/>
      <w:jc w:val="left"/>
    </w:pPr>
    <w:rPr>
      <w:rFonts w:ascii="Verdana" w:hAnsi="Verdana" w:eastAsia="宋体" w:cs="Times New Roman"/>
      <w:kern w:val="0"/>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336</Words>
  <Characters>1920</Characters>
  <Lines>16</Lines>
  <Paragraphs>4</Paragraphs>
  <TotalTime>4</TotalTime>
  <ScaleCrop>false</ScaleCrop>
  <LinksUpToDate>false</LinksUpToDate>
  <CharactersWithSpaces>2252</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2020-08-18T00:29:00Z</dcterms:created>
  <dc:creator>Admin</dc:creator>
  <cp:lastModifiedBy>neokylin</cp:lastModifiedBy>
  <cp:lastPrinted>2025-11-08T16:49:00Z</cp:lastPrinted>
  <dcterms:modified xsi:type="dcterms:W3CDTF">2025-11-10T18:05:34Z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03B3DB4EDF53D9AC4242116977EDBDA7</vt:lpwstr>
  </property>
</Properties>
</file>