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169F6F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服务需求</w:t>
      </w:r>
      <w:bookmarkEnd w:id="0"/>
    </w:p>
    <w:p w14:paraId="72047BD9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A981F3C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对本单位1994年至2025年6月30日往来账款进行全面梳理、分类，逐一核实，每一笔往来款应有清晰的记录和依据。根据清查核实和分析结果，结合相关政策要求，制定切实可行的清理建议和解决方案，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  <w:t>符合销账条件的予以销账，不符合销账条件的给予继续挂账的合理建议。需提供以下成果：</w:t>
      </w:r>
    </w:p>
    <w:p w14:paraId="72F94880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  <w:t>1.于2025年9月1日前根据《福州市财政局关于开展全市行政事业单位资产清查工作的通知》（榕财综〔2025〕11号）要求，填列账龄3年以上（含）的往来款项，填报相关表格。</w:t>
      </w:r>
    </w:p>
    <w:p w14:paraId="46C0614B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于2025年12月1日前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提供合法有效的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的往来款清查审计报告，并视账款具体情形出具经济鉴证报告。</w:t>
      </w:r>
    </w:p>
    <w:p w14:paraId="72BC5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41056"/>
    <w:rsid w:val="530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2025-07-24T01:02:00Z</dcterms:created>
  <dc:creator>丁晓聪</dc:creator>
  <cp:lastModifiedBy>丁晓聪</cp:lastModifiedBy>
  <dcterms:modified xsi:type="dcterms:W3CDTF">2025-07-24T01:06:36Z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A6E22585BB254BB6950BB1EEDB37E25B_11</vt:lpwstr>
  </property>
  <property fmtid="{D5CDD505-2E9C-101B-9397-08002B2CF9AE}" pid="4" name="KSOTemplateDocerSaveRecord">
    <vt:lpwstr>eyJoZGlkIjoiMGMyNTZhNTJhYTE4ZTY0OTYxMDc1ZmUwODhlOGVkMjEiLCJ1c2VySWQiOiIxNjg0NTc0MDI1In0=</vt:lpwstr>
  </property>
</Properties>
</file>