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pPr>
        <w:spacing w:after="0" w:line="560" w:lineRule="exact"/>
        <w:jc w:val="center"/>
        <w:rPr>
          <w:rFonts w:hint="eastAsia" w:ascii="宋体" w:hAnsi="宋体" w:eastAsia="宋体"/>
          <w:b/>
          <w:bCs/>
          <w:sz w:val="44"/>
          <w:szCs w:val="44"/>
        </w:rPr>
      </w:pPr>
    </w:p>
    <w:p>
      <w:pPr>
        <w:spacing w:after="0" w:line="560" w:lineRule="exact"/>
        <w:jc w:val="center"/>
        <w:rPr>
          <w:rFonts w:hint="eastAsia" w:ascii="宋体" w:hAnsi="宋体" w:eastAsia="宋体"/>
          <w:b/>
          <w:bCs/>
          <w:sz w:val="44"/>
          <w:szCs w:val="44"/>
        </w:rPr>
      </w:pPr>
      <w:r>
        <w:rPr>
          <w:rFonts w:hint="eastAsia" w:ascii="宋体" w:hAnsi="宋体" w:eastAsia="宋体"/>
          <w:b/>
          <w:bCs/>
          <w:sz w:val="44"/>
          <w:szCs w:val="44"/>
        </w:rPr>
        <w:t>福州市“产教评”技能生态链</w:t>
      </w:r>
    </w:p>
    <w:p>
      <w:pPr>
        <w:spacing w:after="0" w:line="560" w:lineRule="exact"/>
        <w:jc w:val="center"/>
        <w:rPr>
          <w:rFonts w:hint="eastAsia" w:ascii="宋体" w:hAnsi="宋体" w:eastAsia="宋体"/>
          <w:b/>
          <w:bCs/>
          <w:sz w:val="44"/>
          <w:szCs w:val="44"/>
          <w:lang w:eastAsia="zh-CN"/>
        </w:rPr>
      </w:pPr>
      <w:r>
        <w:rPr>
          <w:rFonts w:hint="eastAsia" w:ascii="宋体" w:hAnsi="宋体" w:eastAsia="宋体"/>
          <w:b/>
          <w:bCs/>
          <w:sz w:val="44"/>
          <w:szCs w:val="44"/>
        </w:rPr>
        <w:t>试点建设工作方案</w:t>
      </w:r>
      <w:r>
        <w:rPr>
          <w:rFonts w:hint="eastAsia" w:ascii="宋体" w:hAnsi="宋体" w:eastAsia="宋体"/>
          <w:b/>
          <w:bCs/>
          <w:sz w:val="44"/>
          <w:szCs w:val="44"/>
          <w:lang w:eastAsia="zh-CN"/>
        </w:rPr>
        <w:t>（</w:t>
      </w:r>
      <w:r>
        <w:rPr>
          <w:rFonts w:hint="eastAsia" w:ascii="宋体" w:hAnsi="宋体" w:eastAsia="宋体"/>
          <w:b/>
          <w:bCs/>
          <w:sz w:val="44"/>
          <w:szCs w:val="44"/>
          <w:lang w:val="en-US" w:eastAsia="zh-CN"/>
        </w:rPr>
        <w:t>征求意见稿</w:t>
      </w:r>
      <w:r>
        <w:rPr>
          <w:rFonts w:hint="eastAsia" w:ascii="宋体" w:hAnsi="宋体" w:eastAsia="宋体"/>
          <w:b/>
          <w:bCs/>
          <w:sz w:val="44"/>
          <w:szCs w:val="44"/>
          <w:lang w:eastAsia="zh-CN"/>
        </w:rPr>
        <w:t>）</w:t>
      </w:r>
    </w:p>
    <w:p>
      <w:pPr>
        <w:spacing w:after="0" w:line="560" w:lineRule="exact"/>
        <w:jc w:val="center"/>
        <w:rPr>
          <w:rFonts w:hint="eastAsia" w:ascii="宋体" w:hAnsi="宋体" w:eastAsia="宋体"/>
          <w:b/>
          <w:bCs/>
          <w:sz w:val="44"/>
          <w:szCs w:val="44"/>
        </w:rPr>
      </w:pPr>
    </w:p>
    <w:p>
      <w:pPr>
        <w:spacing w:after="0" w:line="560" w:lineRule="exact"/>
        <w:ind w:firstLine="640" w:firstLineChars="200"/>
        <w:rPr>
          <w:rFonts w:hint="eastAsia" w:ascii="仿宋" w:hAnsi="仿宋" w:eastAsia="仿宋"/>
          <w:sz w:val="32"/>
          <w:szCs w:val="32"/>
        </w:rPr>
      </w:pPr>
      <w:r>
        <w:rPr>
          <w:rFonts w:hint="eastAsia" w:ascii="仿宋" w:hAnsi="仿宋" w:eastAsia="仿宋"/>
          <w:sz w:val="32"/>
          <w:szCs w:val="32"/>
        </w:rPr>
        <w:t>为贯彻落实</w:t>
      </w:r>
      <w:r>
        <w:rPr>
          <w:rFonts w:hint="eastAsia" w:ascii="华文仿宋" w:hAnsi="华文仿宋" w:eastAsia="华文仿宋" w:cs="华文仿宋"/>
          <w:b w:val="0"/>
          <w:bCs/>
          <w:spacing w:val="0"/>
          <w:sz w:val="32"/>
          <w:szCs w:val="32"/>
          <w:lang w:val="en-US" w:eastAsia="zh-CN"/>
        </w:rPr>
        <w:t>《国务院就业促进和劳动保护工作领导小组关于开展大规模职业技能提升培训行动的指导意见》（</w:t>
      </w:r>
      <w:r>
        <w:rPr>
          <w:rFonts w:hint="eastAsia" w:ascii="仿宋" w:hAnsi="仿宋" w:eastAsia="仿宋" w:cs="仿宋"/>
          <w:sz w:val="32"/>
          <w:szCs w:val="32"/>
        </w:rPr>
        <w:t>国就劳发〔2025〕4号</w:t>
      </w:r>
      <w:r>
        <w:rPr>
          <w:rFonts w:hint="eastAsia" w:ascii="华文仿宋" w:hAnsi="华文仿宋" w:eastAsia="华文仿宋" w:cs="华文仿宋"/>
          <w:b w:val="0"/>
          <w:bCs/>
          <w:spacing w:val="0"/>
          <w:sz w:val="32"/>
          <w:szCs w:val="32"/>
          <w:lang w:val="en-US" w:eastAsia="zh-CN"/>
        </w:rPr>
        <w:t>）和</w:t>
      </w:r>
      <w:r>
        <w:rPr>
          <w:rFonts w:hint="eastAsia" w:ascii="仿宋" w:hAnsi="仿宋" w:eastAsia="仿宋"/>
          <w:sz w:val="32"/>
          <w:szCs w:val="32"/>
        </w:rPr>
        <w:t>《福建省就业促进和劳动保护工作领导小组办公室关于印发&lt;福建省大规模职业技能提升培训行动实施方案&gt;的通知精神，围绕产业链搭建技能人才链，推进“榕技强链”专项行动，试点建设我市产教评技能培训生态链，结合实际，现制定工作方案如下。</w:t>
      </w:r>
    </w:p>
    <w:p>
      <w:pPr>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rPr>
        <w:t>一、工作目标</w:t>
      </w:r>
    </w:p>
    <w:p>
      <w:pPr>
        <w:spacing w:after="0" w:line="560" w:lineRule="exact"/>
        <w:ind w:firstLine="640" w:firstLineChars="200"/>
        <w:rPr>
          <w:rFonts w:hint="eastAsia" w:ascii="仿宋" w:hAnsi="仿宋" w:eastAsia="仿宋"/>
          <w:sz w:val="32"/>
          <w:szCs w:val="32"/>
        </w:rPr>
      </w:pPr>
      <w:r>
        <w:rPr>
          <w:rFonts w:hint="eastAsia" w:ascii="仿宋" w:hAnsi="仿宋" w:eastAsia="仿宋"/>
          <w:sz w:val="32"/>
          <w:szCs w:val="32"/>
        </w:rPr>
        <w:t>围绕我市“358X”产业集群、现代服务业、传统优势产业等重点领域，以产业发展为导向，聚集企业、院校（高校、职业院校、技工院校）、职业技能培训机构、技能评价机构、政府部门等资源，探索建立“企业出标准、出岗位、出师傅;院校进县区、进企业、进车间;政府提供政策、提供服务、提供平台”的“三进三出三提供”技能人才全链条培养体系，至2028年前，在各个县（市）区试点建成一批集产业发展、技能培训、人才评价等功能于一体的“产教评”技能生态链，优化产业链技能人才供给，推动技能人才高质量充分就业，为福州高质量发展提供更有力的技能人才支撑。</w:t>
      </w:r>
    </w:p>
    <w:p>
      <w:pPr>
        <w:spacing w:after="0" w:line="560" w:lineRule="exact"/>
        <w:ind w:firstLine="640" w:firstLineChars="200"/>
        <w:rPr>
          <w:rFonts w:hint="eastAsia" w:ascii="黑体" w:hAnsi="黑体" w:eastAsia="黑体"/>
          <w:sz w:val="32"/>
          <w:szCs w:val="32"/>
        </w:rPr>
      </w:pPr>
    </w:p>
    <w:p>
      <w:pPr>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rPr>
        <w:t>二、资质要求</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（一）链主企业。</w:t>
      </w:r>
      <w:r>
        <w:rPr>
          <w:rFonts w:hint="eastAsia" w:ascii="仿宋" w:hAnsi="仿宋" w:eastAsia="仿宋"/>
          <w:sz w:val="32"/>
          <w:szCs w:val="32"/>
        </w:rPr>
        <w:t>链主企业由属地产业生态链内或行业内居于引领地位、在产业集群中起导向性作用的企业、规模以上龙头企业担任。链主企业需能带动3家以上上下游企业以及相关院校、行业协会参与，积极组织生态链内部成员单位开展技能人才评价，推进新“八级工”制度落地，强化技1能价值薪酬待遇激励导向。</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（二）链员单位。</w:t>
      </w:r>
      <w:r>
        <w:rPr>
          <w:rFonts w:hint="eastAsia" w:ascii="仿宋" w:hAnsi="仿宋" w:eastAsia="仿宋"/>
          <w:sz w:val="32"/>
          <w:szCs w:val="32"/>
        </w:rPr>
        <w:t>技能生态链链员单位（以下简称“链员单位”）由链主企业自主确定，可包括：与链主单位有业务关联的上下游企业；普通高等学校、职业院校、技工院校；具备资质的职业技能培训机构、评价机构；人力资源服务机构、行业协会等。</w:t>
      </w:r>
    </w:p>
    <w:p>
      <w:pPr>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rPr>
        <w:t>三、组链建链</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（一）申报条件。</w:t>
      </w:r>
      <w:r>
        <w:rPr>
          <w:rFonts w:hint="eastAsia" w:ascii="仿宋" w:hAnsi="仿宋" w:eastAsia="仿宋"/>
          <w:sz w:val="32"/>
          <w:szCs w:val="32"/>
        </w:rPr>
        <w:t>生态链由链主企业牵头申报。链主企业原则上以行业龙头企业、规上企业、重点产业链头部企业、高新技术产业等重点企业为主，能够在行业处于领先和主导地位，在产业链中能够发挥导向作用的市场主体，能够带动至少3家企业参与生态链建设，能够统筹协调链员单位开展技能人才培训和评价工作，愿意为生态链建设提供场地、设施设备、人员保障、资金投入等资源，链主企业和链员单位须无违法违规行为，未被列入严重失信主体名单。</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（二）组建流程。</w:t>
      </w:r>
      <w:r>
        <w:rPr>
          <w:rFonts w:hint="eastAsia" w:ascii="仿宋" w:hAnsi="仿宋" w:eastAsia="仿宋"/>
          <w:sz w:val="32"/>
          <w:szCs w:val="32"/>
        </w:rPr>
        <w:t>有意向申报的的链主企业,积极联合链员单位，确定工作目标和工作计划，按要求填写《福州市产教评技能培训生态链建设申报表》（附件），同时提供相应佐证材料，报属地县（市）区人力资源和社会保障部门进行审核评估。县（市）区人力资源和社会保障部门审核评估时，应重点围绕链主企业资质、行业影响力、技能培训与评价条件、链员单位资源等因素综合考虑，审核评估结果须经集体研究并公示无异议后报市级人力资源社会保障部门备案。市级人力资源社会保障部门将统一汇总公布各地产教评技能生态链链主企业和链员单位名单。</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（三）管理评估。</w:t>
      </w:r>
      <w:r>
        <w:rPr>
          <w:rFonts w:hint="eastAsia" w:ascii="仿宋" w:hAnsi="仿宋" w:eastAsia="仿宋"/>
          <w:sz w:val="32"/>
          <w:szCs w:val="32"/>
        </w:rPr>
        <w:t>生态链培育期为2年。在培育期内，链主企业应发挥主导作用，积极组织开展链员单位间的技能人才培训和评价工作，不断完善技能人才培养和评价体系，为产业链培养一批技能人才。培育期满后，县（市）区人力资源社会保障部门负责对生态链建设情况进行综合评估，重点评估生态链技能培训、技能评价、就业岗位开发等方面情况，形成考核评估报告后报市级人力资源和社会保障部门。链主企业或链员单位存在虚假培训骗取补贴、违规评价乱发证书等违法违规行为的，县（市）区人力资源社会保障部门应及时核查并按规定依法依规处理。</w:t>
      </w:r>
    </w:p>
    <w:p>
      <w:pPr>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lang w:val="en-US" w:eastAsia="zh-CN"/>
        </w:rPr>
        <w:t>四</w:t>
      </w:r>
      <w:r>
        <w:rPr>
          <w:rFonts w:hint="eastAsia" w:ascii="黑体" w:hAnsi="黑体" w:eastAsia="黑体"/>
          <w:sz w:val="32"/>
          <w:szCs w:val="32"/>
        </w:rPr>
        <w:t>、运行机制</w:t>
      </w:r>
    </w:p>
    <w:p>
      <w:pPr>
        <w:spacing w:after="0" w:line="560" w:lineRule="exact"/>
        <w:ind w:firstLine="640" w:firstLineChars="200"/>
        <w:rPr>
          <w:rFonts w:ascii="仿宋" w:hAnsi="仿宋" w:eastAsia="仿宋"/>
          <w:sz w:val="32"/>
          <w:szCs w:val="32"/>
        </w:rPr>
      </w:pPr>
      <w:r>
        <w:rPr>
          <w:rFonts w:hint="eastAsia" w:ascii="楷体" w:hAnsi="楷体" w:eastAsia="楷体" w:cs="楷体"/>
          <w:sz w:val="32"/>
          <w:szCs w:val="32"/>
        </w:rPr>
        <w:t>（一）需求摸排机制。</w:t>
      </w:r>
      <w:r>
        <w:rPr>
          <w:rFonts w:ascii="仿宋" w:hAnsi="仿宋" w:eastAsia="仿宋"/>
          <w:sz w:val="32"/>
          <w:szCs w:val="32"/>
        </w:rPr>
        <w:t>链主企业应牵头建立常态化技能人才需求摸排机制，定期收集链员单位的岗位缺口、技能短板及新技术应用方向，同时结合行业发展趋势和产业升级规划，形成动态更新的“需求清单”与“能力缺口清单”。链主企业应搭建链内信息共享平台，畅通链员单位实时反馈渠道，确保需求数据及时、准确、全面。此外，应每季度组织链内需求会商，研判短期用工急缺与中长期人才储备方向，为后续培训方案制定提供精准依据，避免培训与需求脱节。</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（二）培训主体机制。</w:t>
      </w:r>
      <w:r>
        <w:rPr>
          <w:rFonts w:hint="eastAsia" w:ascii="仿宋" w:hAnsi="仿宋" w:eastAsia="仿宋"/>
          <w:sz w:val="32"/>
          <w:szCs w:val="32"/>
        </w:rPr>
        <w:t>链主企业应担负技能生态链的培训主体责任，应认真摸底链员单位对技能人才的培训需求，形成培训需求清单，依托技能生态链内部的培训团队，制定符合需求的培训方案，聘请一线有经验的“老师傅”“老专家”，为链内各类劳动者提供理论和实际相结合的融合培训，切实提高劳动者职业素养和技能水平，实现人才培养与产业需求无缝对接。</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（三）评价认定机制。</w:t>
      </w:r>
      <w:r>
        <w:rPr>
          <w:rFonts w:hint="eastAsia" w:ascii="仿宋" w:hAnsi="仿宋" w:eastAsia="仿宋"/>
          <w:sz w:val="32"/>
          <w:szCs w:val="32"/>
        </w:rPr>
        <w:t>链主企业或链员单位中具有技能人才评价资质的企业，应积极为生态链内部的链员单位提供技能人才评价服务，评价服务应依据国家职业标准或行业企业评价规范，针对链主企业或链员单位的在岗职工、劳务派遣人员、实习实训的学生等评价需求，采取理论考核、现场实操等多种方式开展自主评价，符合条件的，按规定及时向人社部门申请相关证书。</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（四）就业推荐机制。</w:t>
      </w:r>
      <w:r>
        <w:rPr>
          <w:rFonts w:hint="eastAsia" w:ascii="仿宋" w:hAnsi="仿宋" w:eastAsia="仿宋"/>
          <w:sz w:val="32"/>
          <w:szCs w:val="32"/>
        </w:rPr>
        <w:t>链主企业应积极梳理链员单位内部的企业用工需求，形成用工需求清单，将用工需求清单和培训需求清单进行精准匹配，将符合条件的参训学员，优先推荐到链员单位就业。链员单位可联合举办链内专场招聘会，针对参训评价合格的学员，主动提供岗位发布、简历投递、面试对接等服务，打造“需求-培训-评价-就业”的全链条就业跟踪服务机制。</w:t>
      </w:r>
    </w:p>
    <w:p>
      <w:pPr>
        <w:spacing w:after="0" w:line="560" w:lineRule="exact"/>
        <w:ind w:firstLine="640" w:firstLineChars="200"/>
        <w:rPr>
          <w:rFonts w:hint="eastAsia" w:ascii="黑体" w:hAnsi="黑体" w:eastAsia="黑体"/>
          <w:sz w:val="32"/>
          <w:szCs w:val="32"/>
          <w:lang w:val="en-US" w:eastAsia="zh-CN"/>
        </w:rPr>
      </w:pPr>
    </w:p>
    <w:p>
      <w:pPr>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lang w:val="en-US" w:eastAsia="zh-CN"/>
        </w:rPr>
        <w:t>五</w:t>
      </w:r>
      <w:r>
        <w:rPr>
          <w:rFonts w:hint="eastAsia" w:ascii="黑体" w:hAnsi="黑体" w:eastAsia="黑体"/>
          <w:sz w:val="32"/>
          <w:szCs w:val="32"/>
        </w:rPr>
        <w:t>、支持政策</w:t>
      </w:r>
    </w:p>
    <w:p>
      <w:pPr>
        <w:spacing w:after="0"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经备案确认的技能生态链链主企业和链员单位可按照福建省和福州市就业补助资金管理办法和福州市职业技能提升行动专账资金管理办法享受职业技能提升补贴、企业职工岗位技能培训补贴、项目制培训补贴、技能评价补贴职业技能大师工作室补助等政策。</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（一）以技强链。</w:t>
      </w:r>
      <w:r>
        <w:rPr>
          <w:rFonts w:hint="eastAsia" w:ascii="仿宋" w:hAnsi="仿宋" w:eastAsia="仿宋"/>
          <w:sz w:val="32"/>
          <w:szCs w:val="32"/>
        </w:rPr>
        <w:t>搭建生态链企业和相关院校机构合作平台，围绕岗位需求和标准，加强专业建设和实习实训合作，全面推进“订单班”“冠名班”“精匠班”技能人才培养，为产业发展补充输送一批急需紧缺技能人才。</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（二）以培补链。</w:t>
      </w:r>
      <w:r>
        <w:rPr>
          <w:rFonts w:hint="eastAsia" w:ascii="仿宋" w:hAnsi="仿宋" w:eastAsia="仿宋"/>
          <w:sz w:val="32"/>
          <w:szCs w:val="32"/>
        </w:rPr>
        <w:t>发挥企业培训主体作用，支持生态链企业组织职工开展岗前技能培训、在岗技能提升培训和企业新型学徒制培训，强化在岗职工技能人才培养，落实职业技能培训补贴政策。</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（三）以评拓链。</w:t>
      </w:r>
      <w:r>
        <w:rPr>
          <w:rFonts w:hint="eastAsia" w:ascii="仿宋" w:hAnsi="仿宋" w:eastAsia="仿宋"/>
          <w:sz w:val="32"/>
          <w:szCs w:val="32"/>
        </w:rPr>
        <w:t>探索建立生态链技能人才评价共享机制，支持链员单位在生态链成员内部开展技能人才评价，打破产业技能人才培训和评价资源壁垒，拓宽技能人才评价渠道，共享评价资源。</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（四）以师带链。</w:t>
      </w:r>
      <w:r>
        <w:rPr>
          <w:rFonts w:hint="eastAsia" w:ascii="仿宋" w:hAnsi="仿宋" w:eastAsia="仿宋"/>
          <w:sz w:val="32"/>
          <w:szCs w:val="32"/>
        </w:rPr>
        <w:t>支持链主企业和链员单位申报技能大师工作室项目建设，发挥技能大师在生态链中的专业特长和“传帮带”优势，以“师带徒”形式，带动整个产业链优秀技能人才培养。</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（五）以赛育链。</w:t>
      </w:r>
      <w:r>
        <w:rPr>
          <w:rFonts w:hint="eastAsia" w:ascii="仿宋" w:hAnsi="仿宋" w:eastAsia="仿宋"/>
          <w:sz w:val="32"/>
          <w:szCs w:val="32"/>
        </w:rPr>
        <w:t>鼓励链主企业和链员单位组织开展行业职业技能竞赛，打造具有影响力的竞赛品牌，符合条件的纳入全市“榕匠杯”职业技能竞赛范围，落实竞赛奖励政策，以竞赛形式为产业链培育优秀高技能人才。</w:t>
      </w:r>
    </w:p>
    <w:p>
      <w:pPr>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、组织管理</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（一）加强组织领导。</w:t>
      </w:r>
      <w:r>
        <w:rPr>
          <w:rFonts w:hint="eastAsia" w:ascii="仿宋" w:hAnsi="仿宋" w:eastAsia="仿宋"/>
          <w:sz w:val="32"/>
          <w:szCs w:val="32"/>
        </w:rPr>
        <w:t>各县（市）区人力资源和社会保障部门要高度重视生态链建设工作，积极联合行业主管部门，围绕本地“358X”重点产业或其它优势重点产业，积极发动符合条件的链主企业申报，建设形成具有本地产业特色的“产教评”技能生态链。</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（二）提供服务保障。</w:t>
      </w:r>
      <w:r>
        <w:rPr>
          <w:rFonts w:hint="eastAsia" w:ascii="仿宋" w:hAnsi="仿宋" w:eastAsia="仿宋"/>
          <w:sz w:val="32"/>
          <w:szCs w:val="32"/>
        </w:rPr>
        <w:t>在技能生态链建设过程中，各县（市）区人力资源和社会保障部门要协助统筹各项资源，全面支持“产教评”技能生态链建设，落实人才、资金等各项支持政策，加大服务保障力度，搭建校企、政企对接平台，协助解决建设过程中遇到的问题和难点。</w:t>
      </w:r>
    </w:p>
    <w:p>
      <w:pPr>
        <w:spacing w:after="0" w:line="560" w:lineRule="exact"/>
        <w:ind w:firstLine="640" w:firstLineChars="200"/>
        <w:rPr>
          <w:rFonts w:hint="eastAsia" w:ascii="仿宋" w:hAnsi="仿宋" w:eastAsia="仿宋"/>
          <w:sz w:val="32"/>
          <w:szCs w:val="32"/>
        </w:rPr>
      </w:pPr>
      <w:r>
        <w:rPr>
          <w:rFonts w:hint="eastAsia" w:ascii="楷体" w:hAnsi="楷体" w:eastAsia="楷体" w:cs="楷体"/>
          <w:sz w:val="32"/>
          <w:szCs w:val="32"/>
        </w:rPr>
        <w:t>（三）强化宣传引导。</w:t>
      </w:r>
      <w:r>
        <w:rPr>
          <w:rFonts w:hint="eastAsia" w:ascii="仿宋" w:hAnsi="仿宋" w:eastAsia="仿宋"/>
          <w:sz w:val="32"/>
          <w:szCs w:val="32"/>
        </w:rPr>
        <w:t>各地人力资源社会保障部门要加强“产教评”技能生态链建设的政策解读和宣传引导，提高生态链建设的企业知晓率和参与度。同时，要大力宣传在建设过程中涌现的技能人才培养典型案例和经验，营造尊重技能、崇尚技能的良好社会氛围。</w:t>
      </w:r>
    </w:p>
    <w:p>
      <w:pPr>
        <w:spacing w:after="0" w:line="560" w:lineRule="exact"/>
        <w:ind w:firstLine="640" w:firstLineChars="200"/>
        <w:rPr>
          <w:rFonts w:hint="eastAsia" w:ascii="仿宋" w:hAnsi="仿宋" w:eastAsia="仿宋"/>
          <w:sz w:val="32"/>
          <w:szCs w:val="32"/>
        </w:rPr>
      </w:pPr>
      <w:r>
        <w:rPr>
          <w:rFonts w:hint="eastAsia" w:ascii="仿宋" w:hAnsi="仿宋" w:eastAsia="仿宋"/>
          <w:sz w:val="32"/>
          <w:szCs w:val="32"/>
        </w:rPr>
        <w:t>本方案有效期至2028年12月31日。</w:t>
      </w:r>
    </w:p>
    <w:p>
      <w:pPr>
        <w:spacing w:after="0" w:line="560" w:lineRule="exact"/>
        <w:rPr>
          <w:rFonts w:hint="eastAsia" w:ascii="仿宋" w:hAnsi="仿宋" w:eastAsia="仿宋"/>
          <w:sz w:val="32"/>
          <w:szCs w:val="32"/>
        </w:rPr>
      </w:pPr>
    </w:p>
    <w:p>
      <w:pPr>
        <w:pStyle w:val="2"/>
        <w:rPr>
          <w:rFonts w:hint="eastAsia" w:ascii="仿宋" w:hAnsi="仿宋" w:eastAsia="仿宋"/>
          <w:sz w:val="32"/>
          <w:szCs w:val="32"/>
        </w:rPr>
      </w:pPr>
    </w:p>
    <w:p>
      <w:pPr>
        <w:pStyle w:val="2"/>
        <w:rPr>
          <w:rFonts w:hint="eastAsia" w:ascii="仿宋" w:hAnsi="仿宋" w:eastAsia="仿宋"/>
          <w:sz w:val="32"/>
          <w:szCs w:val="32"/>
        </w:rPr>
      </w:pPr>
    </w:p>
    <w:p>
      <w:pPr>
        <w:pStyle w:val="2"/>
        <w:rPr>
          <w:rFonts w:hint="eastAsia" w:ascii="仿宋" w:hAnsi="仿宋" w:eastAsia="仿宋"/>
          <w:sz w:val="32"/>
          <w:szCs w:val="32"/>
        </w:rPr>
      </w:pPr>
    </w:p>
    <w:p>
      <w:pPr>
        <w:rPr>
          <w:rFonts w:hint="default" w:ascii="黑体" w:hAnsi="黑体" w:eastAsia="黑体" w:cs="黑体"/>
          <w:sz w:val="24"/>
          <w:szCs w:val="24"/>
          <w:lang w:val="en-US" w:eastAsia="zh-CN"/>
        </w:rPr>
      </w:pPr>
      <w:r>
        <w:rPr>
          <w:rFonts w:hint="eastAsia" w:ascii="黑体" w:hAnsi="黑体" w:eastAsia="黑体" w:cs="黑体"/>
          <w:sz w:val="32"/>
          <w:szCs w:val="32"/>
          <w:lang w:val="en-US" w:eastAsia="zh-CN"/>
        </w:rPr>
        <w:t>附件</w:t>
      </w:r>
    </w:p>
    <w:p>
      <w:pPr>
        <w:pStyle w:val="2"/>
        <w:spacing w:before="0" w:beforeLines="0" w:after="0" w:afterLines="0" w:line="580" w:lineRule="exact"/>
        <w:jc w:val="center"/>
        <w:rPr>
          <w:rFonts w:hint="eastAsia" w:ascii="方正小标宋简体" w:hAnsi="方正小标宋简体" w:eastAsia="方正小标宋简体" w:cs="方正小标宋简体"/>
          <w:b w:val="0"/>
          <w:bCs w:val="0"/>
          <w:kern w:val="0"/>
          <w:sz w:val="40"/>
          <w:szCs w:val="32"/>
          <w:lang w:val="en-US" w:eastAsia="zh-CN" w:bidi="ar-SA"/>
        </w:rPr>
      </w:pPr>
      <w:r>
        <w:rPr>
          <w:rFonts w:hint="eastAsia" w:ascii="方正小标宋简体" w:hAnsi="方正小标宋简体" w:eastAsia="方正小标宋简体" w:cs="方正小标宋简体"/>
          <w:b w:val="0"/>
          <w:bCs w:val="0"/>
          <w:kern w:val="0"/>
          <w:sz w:val="40"/>
          <w:szCs w:val="32"/>
          <w:lang w:val="en-US" w:eastAsia="zh-CN" w:bidi="ar-SA"/>
        </w:rPr>
        <w:t>福州市产教评技能生态链链主企业申报表</w:t>
      </w:r>
    </w:p>
    <w:tbl>
      <w:tblPr>
        <w:tblStyle w:val="17"/>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719"/>
        <w:gridCol w:w="1386"/>
        <w:gridCol w:w="1159"/>
        <w:gridCol w:w="993"/>
        <w:gridCol w:w="1286"/>
        <w:gridCol w:w="212"/>
        <w:gridCol w:w="1275"/>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9" w:type="dxa"/>
            <w:gridSpan w:val="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b/>
                <w:sz w:val="24"/>
                <w:szCs w:val="24"/>
              </w:rPr>
            </w:pPr>
            <w:r>
              <w:rPr>
                <w:rFonts w:hint="default" w:ascii="Times New Roman" w:hAnsi="Times New Roman" w:eastAsia="黑体" w:cs="Times New Roman"/>
                <w:b w:val="0"/>
                <w:bCs/>
                <w:sz w:val="24"/>
                <w:szCs w:val="24"/>
              </w:rPr>
              <w:t>一、</w:t>
            </w:r>
            <w:r>
              <w:rPr>
                <w:rFonts w:hint="default" w:ascii="Times New Roman" w:hAnsi="Times New Roman" w:eastAsia="黑体"/>
                <w:bCs/>
                <w:sz w:val="24"/>
                <w:szCs w:val="24"/>
              </w:rPr>
              <w:t>链主</w:t>
            </w:r>
            <w:r>
              <w:rPr>
                <w:rFonts w:hint="eastAsia" w:eastAsia="黑体" w:cs="Times New Roman"/>
                <w:b w:val="0"/>
                <w:bCs/>
                <w:sz w:val="24"/>
                <w:szCs w:val="24"/>
                <w:lang w:val="en-US" w:eastAsia="zh-CN"/>
              </w:rPr>
              <w:t>企业</w:t>
            </w:r>
            <w:r>
              <w:rPr>
                <w:rFonts w:hint="default" w:ascii="Times New Roman" w:hAnsi="Times New Roman" w:eastAsia="黑体" w:cs="Times New Roman"/>
                <w:b w:val="0"/>
                <w:bCs/>
                <w:sz w:val="24"/>
                <w:szCs w:val="24"/>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0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企业名称</w:t>
            </w:r>
          </w:p>
        </w:tc>
        <w:tc>
          <w:tcPr>
            <w:tcW w:w="353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p>
        </w:tc>
        <w:tc>
          <w:tcPr>
            <w:tcW w:w="12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统一社会</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信用代码</w:t>
            </w:r>
          </w:p>
        </w:tc>
        <w:tc>
          <w:tcPr>
            <w:tcW w:w="2567"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0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注册地址</w:t>
            </w:r>
          </w:p>
        </w:tc>
        <w:tc>
          <w:tcPr>
            <w:tcW w:w="353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p>
        </w:tc>
        <w:tc>
          <w:tcPr>
            <w:tcW w:w="12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法人代表</w:t>
            </w:r>
          </w:p>
        </w:tc>
        <w:tc>
          <w:tcPr>
            <w:tcW w:w="2567"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0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负责人</w:t>
            </w:r>
          </w:p>
        </w:tc>
        <w:tc>
          <w:tcPr>
            <w:tcW w:w="353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p>
        </w:tc>
        <w:tc>
          <w:tcPr>
            <w:tcW w:w="12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2567"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0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经济类型</w:t>
            </w:r>
          </w:p>
        </w:tc>
        <w:tc>
          <w:tcPr>
            <w:tcW w:w="7391"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 xml:space="preserve">龙头企业         </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 xml:space="preserve">上市公司       </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产教融合型企业</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 xml:space="preserve">其他类型企业（              </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0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职工总数</w:t>
            </w:r>
          </w:p>
        </w:tc>
        <w:tc>
          <w:tcPr>
            <w:tcW w:w="353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p>
        </w:tc>
        <w:tc>
          <w:tcPr>
            <w:tcW w:w="12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技能岗位</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职工人数</w:t>
            </w:r>
          </w:p>
        </w:tc>
        <w:tc>
          <w:tcPr>
            <w:tcW w:w="2567"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0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所属行业</w:t>
            </w:r>
          </w:p>
        </w:tc>
        <w:tc>
          <w:tcPr>
            <w:tcW w:w="7391"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140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bCs/>
                <w:sz w:val="24"/>
                <w:szCs w:val="24"/>
              </w:rPr>
            </w:pPr>
            <w:r>
              <w:rPr>
                <w:rFonts w:hint="default" w:ascii="Times New Roman" w:hAnsi="Times New Roman" w:eastAsia="仿宋_GB2312" w:cs="Times New Roman"/>
                <w:sz w:val="24"/>
                <w:szCs w:val="24"/>
              </w:rPr>
              <w:t>主营业务</w:t>
            </w:r>
          </w:p>
        </w:tc>
        <w:tc>
          <w:tcPr>
            <w:tcW w:w="7391"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仿宋_GB2312" w:cs="Times New Roman"/>
                <w:sz w:val="24"/>
                <w:szCs w:val="24"/>
              </w:rPr>
              <w:t>请详细阐述企业主营业务，</w:t>
            </w:r>
            <w:r>
              <w:rPr>
                <w:rFonts w:hint="eastAsia" w:ascii="Times New Roman" w:hAnsi="Times New Roman" w:eastAsia="仿宋_GB2312" w:cs="Times New Roman"/>
                <w:sz w:val="24"/>
                <w:szCs w:val="24"/>
                <w:lang w:eastAsia="zh-CN"/>
              </w:rPr>
              <w:t>行业竞争力</w:t>
            </w:r>
            <w:r>
              <w:rPr>
                <w:rFonts w:hint="default" w:ascii="Times New Roman" w:hAnsi="Times New Roman" w:eastAsia="仿宋_GB2312" w:cs="Times New Roman"/>
                <w:sz w:val="24"/>
                <w:szCs w:val="24"/>
              </w:rPr>
              <w:t>。主营业务发展对岗位技能人才的需求分析。建设技能生态链与主营业务之间的关系</w:t>
            </w:r>
            <w:r>
              <w:rPr>
                <w:rFonts w:hint="eastAsia" w:ascii="Times New Roman" w:hAnsi="Times New Roman" w:eastAsia="仿宋_GB2312" w:cs="Times New Roman"/>
                <w:sz w:val="24"/>
                <w:szCs w:val="24"/>
                <w:lang w:eastAsia="zh-CN"/>
              </w:rPr>
              <w:t>及必要性</w:t>
            </w:r>
            <w:r>
              <w:rPr>
                <w:rFonts w:hint="default"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799" w:type="dxa"/>
            <w:gridSpan w:val="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eastAsia" w:eastAsia="黑体" w:cs="Times New Roman"/>
                <w:b w:val="0"/>
                <w:bCs/>
                <w:sz w:val="24"/>
                <w:szCs w:val="24"/>
                <w:lang w:eastAsia="zh-CN"/>
              </w:rPr>
              <w:t>单位</w:t>
            </w:r>
            <w:r>
              <w:rPr>
                <w:rFonts w:hint="default" w:ascii="Times New Roman" w:hAnsi="Times New Roman" w:eastAsia="黑体" w:cs="Times New Roman"/>
                <w:b w:val="0"/>
                <w:bCs/>
                <w:sz w:val="24"/>
                <w:szCs w:val="24"/>
              </w:rPr>
              <w:t>主营业务相对应的</w:t>
            </w:r>
            <w:r>
              <w:rPr>
                <w:rFonts w:hint="default" w:ascii="Times New Roman" w:hAnsi="Times New Roman" w:eastAsia="黑体" w:cs="Times New Roman"/>
                <w:b w:val="0"/>
                <w:bCs/>
                <w:sz w:val="24"/>
                <w:szCs w:val="24"/>
                <w:lang w:eastAsia="zh-CN"/>
              </w:rPr>
              <w:t>技能</w:t>
            </w:r>
            <w:r>
              <w:rPr>
                <w:rFonts w:hint="default" w:ascii="Times New Roman" w:hAnsi="Times New Roman" w:eastAsia="黑体" w:cs="Times New Roman"/>
                <w:b w:val="0"/>
                <w:bCs/>
                <w:sz w:val="24"/>
                <w:szCs w:val="24"/>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序号</w:t>
            </w:r>
          </w:p>
        </w:tc>
        <w:tc>
          <w:tcPr>
            <w:tcW w:w="210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企业</w:t>
            </w:r>
            <w:r>
              <w:rPr>
                <w:rFonts w:hint="eastAsia" w:ascii="Times New Roman" w:hAnsi="Times New Roman" w:eastAsia="黑体" w:cs="Times New Roman"/>
                <w:b w:val="0"/>
                <w:bCs/>
                <w:sz w:val="24"/>
                <w:szCs w:val="24"/>
                <w:lang w:eastAsia="zh-CN"/>
              </w:rPr>
              <w:t>技能</w:t>
            </w:r>
            <w:r>
              <w:rPr>
                <w:rFonts w:hint="default" w:ascii="Times New Roman" w:hAnsi="Times New Roman" w:eastAsia="黑体" w:cs="Times New Roman"/>
                <w:b w:val="0"/>
                <w:bCs/>
                <w:sz w:val="24"/>
                <w:szCs w:val="24"/>
              </w:rPr>
              <w:t>岗位名称</w:t>
            </w:r>
          </w:p>
        </w:tc>
        <w:tc>
          <w:tcPr>
            <w:tcW w:w="11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imes New Roman" w:hAnsi="Times New Roman" w:eastAsia="黑体" w:cs="Times New Roman"/>
                <w:b w:val="0"/>
                <w:bCs/>
                <w:sz w:val="24"/>
                <w:szCs w:val="24"/>
                <w:lang w:eastAsia="zh-CN"/>
              </w:rPr>
            </w:pPr>
            <w:r>
              <w:rPr>
                <w:rFonts w:hint="default" w:ascii="Times New Roman" w:hAnsi="Times New Roman" w:eastAsia="黑体" w:cs="Times New Roman"/>
                <w:b w:val="0"/>
                <w:bCs/>
                <w:sz w:val="24"/>
                <w:szCs w:val="24"/>
              </w:rPr>
              <w:t>当前用工数量</w:t>
            </w:r>
            <w:r>
              <w:rPr>
                <w:rFonts w:hint="eastAsia" w:ascii="Times New Roman" w:hAnsi="Times New Roman" w:eastAsia="黑体" w:cs="Times New Roman"/>
                <w:b w:val="0"/>
                <w:bCs/>
                <w:sz w:val="24"/>
                <w:szCs w:val="24"/>
                <w:lang w:eastAsia="zh-CN"/>
              </w:rPr>
              <w:t>（人）</w:t>
            </w:r>
          </w:p>
        </w:tc>
        <w:tc>
          <w:tcPr>
            <w:tcW w:w="249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b w:val="0"/>
                <w:bCs/>
                <w:sz w:val="24"/>
                <w:szCs w:val="24"/>
                <w:lang w:eastAsia="zh-CN"/>
              </w:rPr>
            </w:pPr>
            <w:r>
              <w:rPr>
                <w:rFonts w:hint="default" w:ascii="Times New Roman" w:hAnsi="Times New Roman" w:eastAsia="黑体" w:cs="Times New Roman"/>
                <w:b w:val="0"/>
                <w:bCs/>
                <w:sz w:val="24"/>
                <w:szCs w:val="24"/>
              </w:rPr>
              <w:t>对应职业名称</w:t>
            </w:r>
            <w:r>
              <w:rPr>
                <w:rFonts w:hint="eastAsia" w:ascii="Times New Roman" w:hAnsi="Times New Roman" w:eastAsia="黑体" w:cs="Times New Roman"/>
                <w:b w:val="0"/>
                <w:bCs/>
                <w:sz w:val="24"/>
                <w:szCs w:val="24"/>
                <w:lang w:eastAsia="zh-CN"/>
              </w:rPr>
              <w:t>（指职业分类大典中的名称，可在“技能人才评价工作网”查询）</w:t>
            </w:r>
          </w:p>
        </w:tc>
        <w:tc>
          <w:tcPr>
            <w:tcW w:w="12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b w:val="0"/>
                <w:bCs/>
                <w:sz w:val="24"/>
                <w:szCs w:val="24"/>
                <w:lang w:eastAsia="zh-CN"/>
              </w:rPr>
            </w:pPr>
            <w:r>
              <w:rPr>
                <w:rFonts w:hint="eastAsia" w:ascii="Times New Roman" w:hAnsi="Times New Roman" w:eastAsia="黑体" w:cs="Times New Roman"/>
                <w:b w:val="0"/>
                <w:bCs/>
                <w:sz w:val="24"/>
                <w:szCs w:val="24"/>
                <w:lang w:eastAsia="zh-CN"/>
              </w:rPr>
              <w:t>未来</w:t>
            </w:r>
            <w:r>
              <w:rPr>
                <w:rFonts w:hint="eastAsia" w:ascii="Times New Roman" w:hAnsi="Times New Roman" w:eastAsia="黑体" w:cs="Times New Roman"/>
                <w:b w:val="0"/>
                <w:bCs/>
                <w:sz w:val="24"/>
                <w:szCs w:val="24"/>
                <w:lang w:val="en-US" w:eastAsia="zh-CN"/>
              </w:rPr>
              <w:t>2年</w:t>
            </w:r>
            <w:r>
              <w:rPr>
                <w:rFonts w:hint="eastAsia" w:ascii="Times New Roman" w:hAnsi="Times New Roman" w:eastAsia="黑体" w:cs="Times New Roman"/>
                <w:b w:val="0"/>
                <w:bCs/>
                <w:sz w:val="24"/>
                <w:szCs w:val="24"/>
                <w:lang w:eastAsia="zh-CN"/>
              </w:rPr>
              <w:t>技能人才需求数量（人）</w:t>
            </w:r>
          </w:p>
        </w:tc>
        <w:tc>
          <w:tcPr>
            <w:tcW w:w="1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黑体" w:cs="Times New Roman"/>
                <w:b w:val="0"/>
                <w:bCs/>
                <w:sz w:val="24"/>
                <w:szCs w:val="24"/>
                <w:lang w:val="en-US" w:eastAsia="zh-CN"/>
              </w:rPr>
            </w:pPr>
            <w:r>
              <w:rPr>
                <w:rFonts w:hint="eastAsia" w:ascii="Times New Roman" w:hAnsi="Times New Roman" w:eastAsia="黑体" w:cs="Times New Roman"/>
                <w:b w:val="0"/>
                <w:bCs/>
                <w:sz w:val="24"/>
                <w:szCs w:val="24"/>
                <w:lang w:eastAsia="zh-CN"/>
              </w:rPr>
              <w:t>未来</w:t>
            </w:r>
            <w:r>
              <w:rPr>
                <w:rFonts w:hint="eastAsia" w:ascii="Times New Roman" w:hAnsi="Times New Roman" w:eastAsia="黑体" w:cs="Times New Roman"/>
                <w:b w:val="0"/>
                <w:bCs/>
                <w:sz w:val="24"/>
                <w:szCs w:val="24"/>
                <w:lang w:val="en-US" w:eastAsia="zh-CN"/>
              </w:rPr>
              <w:t>2年计划培训数量（人）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1</w:t>
            </w:r>
          </w:p>
        </w:tc>
        <w:tc>
          <w:tcPr>
            <w:tcW w:w="210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b/>
                <w:sz w:val="24"/>
                <w:szCs w:val="24"/>
              </w:rPr>
            </w:pPr>
          </w:p>
        </w:tc>
        <w:tc>
          <w:tcPr>
            <w:tcW w:w="249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2</w:t>
            </w:r>
          </w:p>
        </w:tc>
        <w:tc>
          <w:tcPr>
            <w:tcW w:w="210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49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3</w:t>
            </w:r>
          </w:p>
        </w:tc>
        <w:tc>
          <w:tcPr>
            <w:tcW w:w="210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49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4</w:t>
            </w:r>
          </w:p>
        </w:tc>
        <w:tc>
          <w:tcPr>
            <w:tcW w:w="210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49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5</w:t>
            </w:r>
          </w:p>
        </w:tc>
        <w:tc>
          <w:tcPr>
            <w:tcW w:w="210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49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6</w:t>
            </w:r>
          </w:p>
        </w:tc>
        <w:tc>
          <w:tcPr>
            <w:tcW w:w="210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49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eastAsia" w:ascii="Times New Roman" w:hAnsi="Times New Roman" w:eastAsia="楷体" w:cs="Times New Roman"/>
                <w:sz w:val="24"/>
                <w:szCs w:val="24"/>
                <w:lang w:val="en-US" w:eastAsia="zh-CN"/>
              </w:rPr>
              <w:t>7</w:t>
            </w:r>
          </w:p>
        </w:tc>
        <w:tc>
          <w:tcPr>
            <w:tcW w:w="210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49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eastAsia" w:ascii="Times New Roman" w:hAnsi="Times New Roman" w:eastAsia="楷体" w:cs="Times New Roman"/>
                <w:sz w:val="24"/>
                <w:szCs w:val="24"/>
                <w:lang w:val="en-US" w:eastAsia="zh-CN"/>
              </w:rPr>
              <w:t>8</w:t>
            </w:r>
          </w:p>
        </w:tc>
        <w:tc>
          <w:tcPr>
            <w:tcW w:w="210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5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49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续上表</w:t>
      </w:r>
    </w:p>
    <w:tbl>
      <w:tblPr>
        <w:tblStyle w:val="17"/>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730"/>
        <w:gridCol w:w="1255"/>
        <w:gridCol w:w="1276"/>
        <w:gridCol w:w="1482"/>
        <w:gridCol w:w="800"/>
        <w:gridCol w:w="1375"/>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799"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b/>
                <w:sz w:val="24"/>
                <w:szCs w:val="24"/>
              </w:rPr>
            </w:pPr>
            <w:r>
              <w:rPr>
                <w:rFonts w:hint="default" w:ascii="Times New Roman" w:hAnsi="Times New Roman" w:eastAsia="黑体" w:cs="Times New Roman"/>
                <w:b w:val="0"/>
                <w:bCs/>
                <w:sz w:val="24"/>
                <w:szCs w:val="24"/>
              </w:rPr>
              <w:t>二、</w:t>
            </w:r>
            <w:r>
              <w:rPr>
                <w:rFonts w:hint="eastAsia" w:ascii="Times New Roman" w:hAnsi="Times New Roman" w:eastAsia="黑体" w:cs="Times New Roman"/>
                <w:b w:val="0"/>
                <w:bCs/>
                <w:sz w:val="24"/>
                <w:szCs w:val="24"/>
                <w:lang w:eastAsia="zh-CN"/>
              </w:rPr>
              <w:t>产业链上下游</w:t>
            </w:r>
            <w:r>
              <w:rPr>
                <w:rFonts w:hint="default" w:ascii="Times New Roman" w:hAnsi="Times New Roman" w:eastAsia="黑体" w:cs="Times New Roman"/>
                <w:b w:val="0"/>
                <w:bCs/>
                <w:sz w:val="24"/>
                <w:szCs w:val="24"/>
              </w:rPr>
              <w:t>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序号</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企业名称</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lang w:val="en-US" w:eastAsia="zh-CN"/>
              </w:rPr>
            </w:pPr>
            <w:r>
              <w:rPr>
                <w:rFonts w:hint="eastAsia" w:ascii="Times New Roman" w:hAnsi="Times New Roman" w:eastAsia="黑体" w:cs="Times New Roman"/>
                <w:b w:val="0"/>
                <w:bCs/>
                <w:sz w:val="24"/>
                <w:szCs w:val="24"/>
                <w:lang w:val="en-US" w:eastAsia="zh-CN"/>
              </w:rPr>
              <w:t>地址</w:t>
            </w: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b w:val="0"/>
                <w:bCs/>
                <w:sz w:val="24"/>
                <w:szCs w:val="24"/>
                <w:lang w:eastAsia="zh-CN"/>
              </w:rPr>
            </w:pPr>
            <w:r>
              <w:rPr>
                <w:rFonts w:hint="eastAsia" w:ascii="Times New Roman" w:hAnsi="Times New Roman" w:eastAsia="黑体" w:cs="Times New Roman"/>
                <w:b w:val="0"/>
                <w:bCs/>
                <w:sz w:val="24"/>
                <w:szCs w:val="24"/>
                <w:lang w:eastAsia="zh-CN"/>
              </w:rPr>
              <w:t>主营业务</w:t>
            </w:r>
          </w:p>
        </w:tc>
        <w:tc>
          <w:tcPr>
            <w:tcW w:w="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b w:val="0"/>
                <w:bCs/>
                <w:sz w:val="24"/>
                <w:szCs w:val="24"/>
                <w:lang w:eastAsia="zh-CN"/>
              </w:rPr>
            </w:pPr>
            <w:r>
              <w:rPr>
                <w:rFonts w:hint="eastAsia" w:ascii="Times New Roman" w:hAnsi="Times New Roman" w:eastAsia="黑体" w:cs="Times New Roman"/>
                <w:b w:val="0"/>
                <w:bCs/>
                <w:sz w:val="24"/>
                <w:szCs w:val="24"/>
                <w:lang w:eastAsia="zh-CN"/>
              </w:rPr>
              <w:t>当前</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b w:val="0"/>
                <w:bCs/>
                <w:sz w:val="24"/>
                <w:szCs w:val="24"/>
                <w:lang w:eastAsia="zh-CN"/>
              </w:rPr>
            </w:pPr>
            <w:r>
              <w:rPr>
                <w:rFonts w:hint="eastAsia" w:ascii="Times New Roman" w:hAnsi="Times New Roman" w:eastAsia="黑体" w:cs="Times New Roman"/>
                <w:b w:val="0"/>
                <w:bCs/>
                <w:sz w:val="24"/>
                <w:szCs w:val="24"/>
                <w:lang w:eastAsia="zh-CN"/>
              </w:rPr>
              <w:t>用工</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eastAsia" w:ascii="Times New Roman" w:hAnsi="Times New Roman" w:eastAsia="黑体" w:cs="Times New Roman"/>
                <w:b w:val="0"/>
                <w:bCs/>
                <w:sz w:val="24"/>
                <w:szCs w:val="24"/>
                <w:lang w:eastAsia="zh-CN"/>
              </w:rPr>
              <w:t>总量</w:t>
            </w:r>
          </w:p>
        </w:tc>
        <w:tc>
          <w:tcPr>
            <w:tcW w:w="13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b w:val="0"/>
                <w:bCs/>
                <w:sz w:val="24"/>
                <w:szCs w:val="24"/>
                <w:lang w:eastAsia="zh-CN"/>
              </w:rPr>
            </w:pPr>
            <w:r>
              <w:rPr>
                <w:rFonts w:hint="eastAsia" w:ascii="Times New Roman" w:hAnsi="Times New Roman" w:eastAsia="黑体" w:cs="Times New Roman"/>
                <w:b w:val="0"/>
                <w:bCs/>
                <w:sz w:val="24"/>
                <w:szCs w:val="24"/>
                <w:lang w:eastAsia="zh-CN"/>
              </w:rPr>
              <w:t>未来</w:t>
            </w:r>
            <w:r>
              <w:rPr>
                <w:rFonts w:hint="eastAsia" w:ascii="Times New Roman" w:hAnsi="Times New Roman" w:eastAsia="黑体" w:cs="Times New Roman"/>
                <w:b w:val="0"/>
                <w:bCs/>
                <w:sz w:val="24"/>
                <w:szCs w:val="24"/>
                <w:lang w:val="en-US" w:eastAsia="zh-CN"/>
              </w:rPr>
              <w:t>2年</w:t>
            </w:r>
            <w:r>
              <w:rPr>
                <w:rFonts w:hint="eastAsia" w:ascii="Times New Roman" w:hAnsi="Times New Roman" w:eastAsia="黑体" w:cs="Times New Roman"/>
                <w:b w:val="0"/>
                <w:bCs/>
                <w:sz w:val="24"/>
                <w:szCs w:val="24"/>
                <w:lang w:eastAsia="zh-CN"/>
              </w:rPr>
              <w:t>技能人才需求数量（人）</w:t>
            </w: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黑体" w:cs="Times New Roman"/>
                <w:b w:val="0"/>
                <w:bCs/>
                <w:sz w:val="24"/>
                <w:szCs w:val="24"/>
                <w:lang w:val="en-US"/>
              </w:rPr>
            </w:pPr>
            <w:r>
              <w:rPr>
                <w:rFonts w:hint="eastAsia" w:ascii="Times New Roman" w:hAnsi="Times New Roman" w:eastAsia="黑体" w:cs="Times New Roman"/>
                <w:b w:val="0"/>
                <w:bCs/>
                <w:sz w:val="24"/>
                <w:szCs w:val="24"/>
                <w:lang w:eastAsia="zh-CN"/>
              </w:rPr>
              <w:t>未来</w:t>
            </w:r>
            <w:r>
              <w:rPr>
                <w:rFonts w:hint="eastAsia" w:ascii="Times New Roman" w:hAnsi="Times New Roman" w:eastAsia="黑体" w:cs="Times New Roman"/>
                <w:b w:val="0"/>
                <w:bCs/>
                <w:sz w:val="24"/>
                <w:szCs w:val="24"/>
                <w:lang w:val="en-US" w:eastAsia="zh-CN"/>
              </w:rPr>
              <w:t>2年计划培训数量（人）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1</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b/>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3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2</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3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3</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3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4</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3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5</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3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eastAsia" w:ascii="Times New Roman" w:hAnsi="Times New Roman" w:eastAsia="楷体" w:cs="Times New Roman"/>
                <w:sz w:val="24"/>
                <w:szCs w:val="24"/>
                <w:lang w:val="en-US" w:eastAsia="zh-CN"/>
              </w:rPr>
              <w:t>6</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3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eastAsia" w:ascii="Times New Roman" w:hAnsi="Times New Roman" w:eastAsia="楷体" w:cs="Times New Roman"/>
                <w:sz w:val="24"/>
                <w:szCs w:val="24"/>
                <w:lang w:val="en-US" w:eastAsia="zh-CN"/>
              </w:rPr>
              <w:t>7</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3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eastAsia" w:ascii="Times New Roman" w:hAnsi="Times New Roman" w:eastAsia="楷体" w:cs="Times New Roman"/>
                <w:sz w:val="24"/>
                <w:szCs w:val="24"/>
                <w:lang w:val="en-US" w:eastAsia="zh-CN"/>
              </w:rPr>
              <w:t>8</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3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799"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楷体" w:cs="Times New Roman"/>
                <w:sz w:val="24"/>
                <w:szCs w:val="24"/>
              </w:rPr>
            </w:pPr>
            <w:r>
              <w:rPr>
                <w:rFonts w:hint="default" w:ascii="Times New Roman" w:hAnsi="Times New Roman" w:eastAsia="黑体" w:cs="Times New Roman"/>
                <w:b w:val="0"/>
                <w:bCs/>
                <w:sz w:val="24"/>
                <w:szCs w:val="24"/>
              </w:rPr>
              <w:t>三、合作院校基本情况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序号</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合作院校名称</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专业名称</w:t>
            </w: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学生数量</w:t>
            </w:r>
          </w:p>
        </w:tc>
        <w:tc>
          <w:tcPr>
            <w:tcW w:w="217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合作时间</w:t>
            </w: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sz w:val="24"/>
                <w:szCs w:val="24"/>
              </w:rPr>
            </w:pPr>
            <w:r>
              <w:rPr>
                <w:rFonts w:hint="eastAsia" w:ascii="Times New Roman" w:hAnsi="Times New Roman" w:eastAsia="黑体" w:cs="Times New Roman"/>
                <w:b w:val="0"/>
                <w:bCs/>
                <w:sz w:val="24"/>
                <w:szCs w:val="24"/>
                <w:lang w:eastAsia="zh-CN"/>
              </w:rPr>
              <w:t>合作形式或成果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1</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b/>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17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2</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17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3</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17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4</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4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217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c>
          <w:tcPr>
            <w:tcW w:w="11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99"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imes New Roman" w:hAnsi="Times New Roman" w:eastAsia="黑体" w:cs="Times New Roman"/>
                <w:b w:val="0"/>
                <w:bCs/>
                <w:sz w:val="24"/>
                <w:szCs w:val="24"/>
                <w:lang w:eastAsia="zh-CN"/>
              </w:rPr>
            </w:pPr>
            <w:r>
              <w:rPr>
                <w:rFonts w:hint="default" w:ascii="Times New Roman" w:hAnsi="Times New Roman" w:eastAsia="黑体" w:cs="Times New Roman"/>
                <w:b w:val="0"/>
                <w:bCs/>
                <w:sz w:val="24"/>
                <w:szCs w:val="24"/>
              </w:rPr>
              <w:t>三、合作</w:t>
            </w:r>
            <w:r>
              <w:rPr>
                <w:rFonts w:hint="eastAsia" w:ascii="Times New Roman" w:hAnsi="Times New Roman" w:eastAsia="黑体" w:cs="Times New Roman"/>
                <w:b w:val="0"/>
                <w:bCs/>
                <w:sz w:val="24"/>
                <w:szCs w:val="24"/>
                <w:lang w:eastAsia="zh-CN"/>
              </w:rPr>
              <w:t>培训机构或内训中心</w:t>
            </w:r>
            <w:r>
              <w:rPr>
                <w:rFonts w:hint="default" w:ascii="Times New Roman" w:hAnsi="Times New Roman" w:eastAsia="黑体" w:cs="Times New Roman"/>
                <w:b w:val="0"/>
                <w:bCs/>
                <w:sz w:val="24"/>
                <w:szCs w:val="24"/>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jc w:val="center"/>
        </w:trPr>
        <w:tc>
          <w:tcPr>
            <w:tcW w:w="141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imes New Roman" w:hAnsi="Times New Roman" w:eastAsia="黑体" w:cs="Times New Roman"/>
                <w:b w:val="0"/>
                <w:bCs/>
                <w:sz w:val="24"/>
                <w:szCs w:val="24"/>
                <w:lang w:eastAsia="zh-CN"/>
              </w:rPr>
            </w:pPr>
            <w:r>
              <w:rPr>
                <w:rFonts w:hint="eastAsia" w:ascii="Times New Roman" w:hAnsi="Times New Roman" w:eastAsia="黑体" w:cs="Times New Roman"/>
                <w:b w:val="0"/>
                <w:bCs/>
                <w:sz w:val="24"/>
                <w:szCs w:val="24"/>
                <w:lang w:eastAsia="zh-CN"/>
              </w:rPr>
              <w:t>内训中心基本情况</w:t>
            </w:r>
          </w:p>
        </w:tc>
        <w:tc>
          <w:tcPr>
            <w:tcW w:w="738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imes New Roman" w:hAnsi="Times New Roman" w:eastAsia="黑体" w:cs="Times New Roman"/>
                <w:b w:val="0"/>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3" w:hRule="atLeast"/>
          <w:jc w:val="center"/>
        </w:trPr>
        <w:tc>
          <w:tcPr>
            <w:tcW w:w="141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imes New Roman" w:hAnsi="Times New Roman" w:eastAsia="黑体" w:cs="Times New Roman"/>
                <w:b w:val="0"/>
                <w:bCs/>
                <w:sz w:val="24"/>
                <w:szCs w:val="24"/>
                <w:lang w:eastAsia="zh-CN"/>
              </w:rPr>
            </w:pPr>
            <w:r>
              <w:rPr>
                <w:rFonts w:hint="eastAsia" w:ascii="Times New Roman" w:hAnsi="Times New Roman" w:eastAsia="黑体" w:cs="Times New Roman"/>
                <w:b w:val="0"/>
                <w:bCs/>
                <w:sz w:val="24"/>
                <w:szCs w:val="24"/>
                <w:lang w:eastAsia="zh-CN"/>
              </w:rPr>
              <w:t>合作培训机构基本情况</w:t>
            </w:r>
          </w:p>
        </w:tc>
        <w:tc>
          <w:tcPr>
            <w:tcW w:w="7380"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imes New Roman" w:hAnsi="Times New Roman" w:eastAsia="黑体" w:cs="Times New Roman"/>
                <w:b w:val="0"/>
                <w:bCs/>
                <w:sz w:val="24"/>
                <w:szCs w:val="24"/>
                <w:lang w:eastAsia="zh-CN"/>
              </w:rPr>
            </w:pPr>
          </w:p>
        </w:tc>
      </w:tr>
    </w:tbl>
    <w:p>
      <w:pPr>
        <w:pStyle w:val="2"/>
        <w:keepNext w:val="0"/>
        <w:keepLines w:val="0"/>
        <w:pageBreakBefore w:val="0"/>
        <w:widowControl w:val="0"/>
        <w:kinsoku/>
        <w:wordWrap/>
        <w:overflowPunct/>
        <w:topLinePunct w:val="0"/>
        <w:autoSpaceDE/>
        <w:autoSpaceDN/>
        <w:bidi w:val="0"/>
        <w:adjustRightInd/>
        <w:snapToGrid w:val="0"/>
        <w:spacing w:after="0" w:line="240" w:lineRule="atLeast"/>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续上表</w:t>
      </w:r>
    </w:p>
    <w:tbl>
      <w:tblPr>
        <w:tblStyle w:val="17"/>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776"/>
        <w:gridCol w:w="209"/>
        <w:gridCol w:w="1276"/>
        <w:gridCol w:w="1394"/>
        <w:gridCol w:w="1724"/>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799"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left"/>
              <w:textAlignment w:val="auto"/>
              <w:rPr>
                <w:rFonts w:hint="default" w:ascii="Times New Roman" w:hAnsi="Times New Roman" w:eastAsia="宋体" w:cs="Times New Roman"/>
                <w:b/>
                <w:sz w:val="24"/>
                <w:szCs w:val="24"/>
              </w:rPr>
            </w:pPr>
            <w:r>
              <w:rPr>
                <w:rFonts w:hint="default" w:ascii="Times New Roman" w:hAnsi="Times New Roman" w:eastAsia="黑体" w:cs="Times New Roman"/>
                <w:b w:val="0"/>
                <w:bCs/>
                <w:sz w:val="24"/>
                <w:szCs w:val="24"/>
              </w:rPr>
              <w:t>四、</w:t>
            </w:r>
            <w:r>
              <w:rPr>
                <w:rFonts w:hint="default" w:ascii="Times New Roman" w:hAnsi="Times New Roman" w:eastAsia="黑体"/>
                <w:bCs/>
                <w:sz w:val="24"/>
                <w:szCs w:val="24"/>
              </w:rPr>
              <w:t>链主</w:t>
            </w:r>
            <w:r>
              <w:rPr>
                <w:rFonts w:hint="eastAsia" w:ascii="Times New Roman" w:hAnsi="Times New Roman" w:eastAsia="黑体"/>
                <w:bCs/>
                <w:sz w:val="24"/>
                <w:szCs w:val="24"/>
                <w:lang w:val="en-US" w:eastAsia="zh-CN"/>
              </w:rPr>
              <w:t>开展</w:t>
            </w:r>
            <w:r>
              <w:rPr>
                <w:rFonts w:hint="eastAsia" w:ascii="Times New Roman" w:hAnsi="Times New Roman" w:eastAsia="黑体" w:cs="Times New Roman"/>
                <w:b w:val="0"/>
                <w:bCs/>
                <w:sz w:val="24"/>
                <w:szCs w:val="24"/>
                <w:lang w:eastAsia="zh-CN"/>
              </w:rPr>
              <w:t>技能人才评价</w:t>
            </w:r>
            <w:r>
              <w:rPr>
                <w:rFonts w:hint="default" w:ascii="Times New Roman" w:hAnsi="Times New Roman" w:eastAsia="黑体" w:cs="Times New Roman"/>
                <w:b w:val="0"/>
                <w:bCs/>
                <w:sz w:val="24"/>
                <w:szCs w:val="24"/>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b w:val="0"/>
                <w:bCs/>
                <w:kern w:val="2"/>
                <w:sz w:val="24"/>
                <w:szCs w:val="24"/>
                <w:lang w:val="en-US" w:eastAsia="zh-CN" w:bidi="ar-SA"/>
              </w:rPr>
            </w:pPr>
            <w:r>
              <w:rPr>
                <w:rFonts w:hint="default" w:ascii="Times New Roman" w:hAnsi="Times New Roman" w:eastAsia="黑体" w:cs="Times New Roman"/>
                <w:b w:val="0"/>
                <w:bCs/>
                <w:sz w:val="24"/>
                <w:szCs w:val="24"/>
              </w:rPr>
              <w:t>类型</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kern w:val="2"/>
                <w:sz w:val="24"/>
                <w:szCs w:val="24"/>
                <w:lang w:val="en-US" w:eastAsia="zh-CN" w:bidi="ar-SA"/>
              </w:rPr>
            </w:pPr>
            <w:r>
              <w:rPr>
                <w:rFonts w:hint="default" w:ascii="Times New Roman" w:hAnsi="Times New Roman" w:eastAsia="黑体" w:cs="Times New Roman"/>
                <w:b w:val="0"/>
                <w:bCs/>
                <w:sz w:val="24"/>
                <w:szCs w:val="24"/>
              </w:rPr>
              <w:t>职业</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kern w:val="2"/>
                <w:sz w:val="24"/>
                <w:szCs w:val="24"/>
                <w:lang w:val="en-US" w:eastAsia="zh-CN" w:bidi="ar-SA"/>
              </w:rPr>
            </w:pPr>
            <w:r>
              <w:rPr>
                <w:rFonts w:hint="default" w:ascii="Times New Roman" w:hAnsi="Times New Roman" w:eastAsia="黑体" w:cs="Times New Roman"/>
                <w:b w:val="0"/>
                <w:bCs/>
                <w:sz w:val="24"/>
                <w:szCs w:val="24"/>
              </w:rPr>
              <w:t>工种</w:t>
            </w: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kern w:val="2"/>
                <w:sz w:val="24"/>
                <w:szCs w:val="24"/>
                <w:lang w:val="en-US" w:eastAsia="zh-CN" w:bidi="ar-SA"/>
              </w:rPr>
            </w:pPr>
            <w:r>
              <w:rPr>
                <w:rFonts w:hint="default" w:ascii="Times New Roman" w:hAnsi="Times New Roman" w:eastAsia="黑体" w:cs="Times New Roman"/>
                <w:b w:val="0"/>
                <w:bCs/>
                <w:sz w:val="24"/>
                <w:szCs w:val="24"/>
              </w:rPr>
              <w:t>技能等级</w:t>
            </w: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kern w:val="2"/>
                <w:sz w:val="24"/>
                <w:szCs w:val="24"/>
                <w:lang w:val="en-US" w:eastAsia="zh-CN" w:bidi="ar-SA"/>
              </w:rPr>
            </w:pPr>
            <w:r>
              <w:rPr>
                <w:rFonts w:hint="eastAsia" w:ascii="Times New Roman" w:hAnsi="Times New Roman" w:eastAsia="黑体" w:cs="Times New Roman"/>
                <w:b w:val="0"/>
                <w:bCs/>
                <w:sz w:val="24"/>
                <w:szCs w:val="24"/>
                <w:lang w:eastAsia="zh-CN"/>
              </w:rPr>
              <w:t>累计评价</w:t>
            </w:r>
            <w:r>
              <w:rPr>
                <w:rFonts w:hint="default" w:ascii="Times New Roman" w:hAnsi="Times New Roman" w:eastAsia="黑体" w:cs="Times New Roman"/>
                <w:b w:val="0"/>
                <w:bCs/>
                <w:sz w:val="24"/>
                <w:szCs w:val="24"/>
              </w:rPr>
              <w:t>人数</w:t>
            </w: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b w:val="0"/>
                <w:bCs/>
                <w:kern w:val="2"/>
                <w:sz w:val="24"/>
                <w:szCs w:val="24"/>
                <w:lang w:val="en-US" w:eastAsia="zh-CN" w:bidi="ar-SA"/>
              </w:rPr>
            </w:pPr>
            <w:r>
              <w:rPr>
                <w:rFonts w:hint="eastAsia" w:ascii="Times New Roman" w:hAnsi="Times New Roman" w:eastAsia="黑体" w:cs="Times New Roman"/>
                <w:b w:val="0"/>
                <w:bCs/>
                <w:sz w:val="24"/>
                <w:szCs w:val="24"/>
                <w:lang w:eastAsia="zh-CN"/>
              </w:rPr>
              <w:t>累计获证人数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eastAsia" w:ascii="Times New Roman" w:hAnsi="Times New Roman" w:eastAsia="黑体" w:cs="Times New Roman"/>
                <w:b w:val="0"/>
                <w:bCs/>
                <w:sz w:val="24"/>
                <w:szCs w:val="24"/>
                <w:lang w:eastAsia="zh-CN"/>
              </w:rPr>
            </w:pPr>
            <w:r>
              <w:rPr>
                <w:rFonts w:hint="eastAsia" w:ascii="Times New Roman" w:hAnsi="Times New Roman" w:eastAsia="黑体" w:cs="Times New Roman"/>
                <w:b w:val="0"/>
                <w:bCs/>
                <w:sz w:val="24"/>
                <w:szCs w:val="24"/>
                <w:lang w:eastAsia="zh-CN"/>
              </w:rPr>
              <w:t>第三方社会评价</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eastAsia" w:ascii="Times New Roman" w:hAnsi="Times New Roman" w:eastAsia="黑体" w:cs="Times New Roman"/>
                <w:b w:val="0"/>
                <w:bCs/>
                <w:sz w:val="24"/>
                <w:szCs w:val="24"/>
                <w:lang w:eastAsia="zh-CN"/>
              </w:rPr>
            </w:pP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eastAsia" w:ascii="Times New Roman" w:hAnsi="Times New Roman" w:eastAsia="黑体" w:cs="Times New Roman"/>
                <w:b w:val="0"/>
                <w:bCs/>
                <w:sz w:val="24"/>
                <w:szCs w:val="24"/>
                <w:lang w:eastAsia="zh-CN"/>
              </w:rPr>
            </w:pP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eastAsia" w:ascii="Times New Roman" w:hAnsi="Times New Roman" w:eastAsia="黑体" w:cs="Times New Roman"/>
                <w:b w:val="0"/>
                <w:bCs/>
                <w:sz w:val="24"/>
                <w:szCs w:val="24"/>
                <w:lang w:eastAsia="zh-CN"/>
              </w:rPr>
            </w:pP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eastAsia" w:ascii="Times New Roman" w:hAnsi="Times New Roman" w:eastAsia="黑体" w:cs="Times New Roman"/>
                <w:b w:val="0"/>
                <w:bCs/>
                <w:sz w:val="24"/>
                <w:szCs w:val="24"/>
                <w:lang w:eastAsia="zh-CN"/>
              </w:rPr>
            </w:pP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eastAsia" w:ascii="Times New Roman" w:hAnsi="Times New Roman" w:eastAsia="黑体" w:cs="Times New Roman"/>
                <w:b w:val="0"/>
                <w:bCs/>
                <w:sz w:val="24"/>
                <w:szCs w:val="24"/>
                <w:lang w:eastAsia="zh-CN"/>
              </w:rPr>
            </w:pPr>
            <w:r>
              <w:rPr>
                <w:rFonts w:hint="eastAsia" w:ascii="Times New Roman" w:hAnsi="Times New Roman" w:eastAsia="黑体" w:cs="Times New Roman"/>
                <w:b w:val="0"/>
                <w:bCs/>
                <w:sz w:val="24"/>
                <w:szCs w:val="24"/>
                <w:lang w:eastAsia="zh-CN"/>
              </w:rPr>
              <w:t>企业自主评价</w:t>
            </w: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eastAsia" w:ascii="Times New Roman" w:hAnsi="Times New Roman" w:eastAsia="黑体" w:cs="Times New Roman"/>
                <w:b w:val="0"/>
                <w:bCs/>
                <w:sz w:val="24"/>
                <w:szCs w:val="24"/>
                <w:lang w:eastAsia="zh-CN"/>
              </w:rPr>
            </w:pP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9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39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c>
          <w:tcPr>
            <w:tcW w:w="17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宋体"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99"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textAlignment w:val="auto"/>
              <w:rPr>
                <w:rFonts w:hint="default" w:ascii="Times New Roman" w:hAnsi="Times New Roman" w:cs="Times New Roman"/>
                <w:sz w:val="24"/>
                <w:szCs w:val="24"/>
              </w:rPr>
            </w:pPr>
            <w:r>
              <w:rPr>
                <w:rFonts w:hint="default" w:ascii="Times New Roman" w:hAnsi="Times New Roman" w:eastAsia="黑体" w:cs="Times New Roman"/>
                <w:b w:val="0"/>
                <w:bCs/>
                <w:sz w:val="24"/>
                <w:szCs w:val="24"/>
              </w:rPr>
              <w:t>六、</w:t>
            </w:r>
            <w:r>
              <w:rPr>
                <w:rFonts w:hint="eastAsia" w:ascii="黑体" w:hAnsi="黑体" w:eastAsia="黑体" w:cs="黑体"/>
                <w:b w:val="0"/>
                <w:bCs/>
                <w:sz w:val="24"/>
                <w:szCs w:val="24"/>
              </w:rPr>
              <w:t>技能生态</w:t>
            </w:r>
            <w:r>
              <w:rPr>
                <w:rFonts w:hint="eastAsia" w:ascii="黑体" w:hAnsi="黑体" w:eastAsia="黑体" w:cs="黑体"/>
                <w:b w:val="0"/>
                <w:bCs/>
                <w:sz w:val="24"/>
                <w:szCs w:val="24"/>
                <w:lang w:eastAsia="zh-CN"/>
              </w:rPr>
              <w:t>链</w:t>
            </w:r>
            <w:r>
              <w:rPr>
                <w:rFonts w:hint="eastAsia" w:ascii="黑体" w:hAnsi="黑体" w:eastAsia="黑体" w:cs="黑体"/>
                <w:b w:val="0"/>
                <w:bCs/>
                <w:sz w:val="24"/>
                <w:szCs w:val="24"/>
              </w:rPr>
              <w:t>具</w:t>
            </w:r>
            <w:r>
              <w:rPr>
                <w:rFonts w:hint="default" w:ascii="Times New Roman" w:hAnsi="Times New Roman" w:eastAsia="黑体" w:cs="Times New Roman"/>
                <w:b w:val="0"/>
                <w:bCs/>
                <w:sz w:val="24"/>
                <w:szCs w:val="24"/>
              </w:rPr>
              <w:t>体实施方案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jc w:val="center"/>
        </w:trPr>
        <w:tc>
          <w:tcPr>
            <w:tcW w:w="8799"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firstLine="480" w:firstLineChars="200"/>
              <w:jc w:val="both"/>
              <w:textAlignment w:val="auto"/>
              <w:rPr>
                <w:rFonts w:hint="default" w:ascii="Times New Roman" w:hAnsi="Times New Roman" w:eastAsia="仿宋" w:cs="Times New Roman"/>
                <w:sz w:val="24"/>
                <w:szCs w:val="24"/>
              </w:rPr>
            </w:pPr>
            <w:r>
              <w:rPr>
                <w:rFonts w:hint="default" w:ascii="仿宋_GB2312" w:hAnsi="仿宋_GB2312" w:eastAsia="仿宋_GB2312" w:cs="仿宋_GB2312"/>
                <w:sz w:val="24"/>
                <w:szCs w:val="24"/>
              </w:rPr>
              <w:t>企业拟构建的技能生态链有关内容（包括但不限于技能岗位、标准开发、教学资源、过程管理、人才评价、培训就业、激励机制等情况，重点阐述企业的优势、技能人才培养体系建设情况和构建生态链的计划），以及企业开展技能培训、技能评价、产教融合、校企合作等工作计划</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可</w:t>
            </w:r>
            <w:r>
              <w:rPr>
                <w:rFonts w:hint="default" w:ascii="仿宋_GB2312" w:hAnsi="仿宋_GB2312" w:eastAsia="仿宋_GB2312" w:cs="仿宋_GB2312"/>
                <w:sz w:val="24"/>
                <w:szCs w:val="24"/>
              </w:rPr>
              <w:t>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jc w:val="center"/>
        </w:trPr>
        <w:tc>
          <w:tcPr>
            <w:tcW w:w="246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申报企业意见</w:t>
            </w:r>
          </w:p>
        </w:tc>
        <w:tc>
          <w:tcPr>
            <w:tcW w:w="6334"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textAlignment w:val="auto"/>
              <w:rPr>
                <w:rFonts w:hint="default" w:ascii="Times New Roman" w:hAnsi="Times New Roman" w:cs="Times New Roman"/>
                <w:sz w:val="24"/>
                <w:szCs w:val="24"/>
              </w:rPr>
            </w:pPr>
            <w:r>
              <w:rPr>
                <w:rFonts w:hint="default" w:ascii="Times New Roman" w:hAnsi="Times New Roman" w:eastAsia="仿宋_GB2312" w:cs="Times New Roman"/>
                <w:color w:val="000000"/>
                <w:kern w:val="0"/>
                <w:sz w:val="24"/>
                <w:szCs w:val="24"/>
                <w:lang w:bidi="ar"/>
              </w:rPr>
              <w:t>本企业承诺填报信息真实无误。</w:t>
            </w:r>
          </w:p>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sz w:val="24"/>
                <w:szCs w:val="24"/>
              </w:rPr>
            </w:pPr>
            <w:r>
              <w:rPr>
                <w:rFonts w:hint="default" w:ascii="Times New Roman" w:hAnsi="Times New Roman" w:cs="Times New Roman"/>
                <w:sz w:val="24"/>
                <w:szCs w:val="24"/>
              </w:rPr>
              <w:t xml:space="preserve">                          </w:t>
            </w:r>
            <w:r>
              <w:rPr>
                <w:rFonts w:hint="eastAsia" w:ascii="仿宋_GB2312" w:hAnsi="仿宋_GB2312" w:eastAsia="仿宋_GB2312" w:cs="仿宋_GB2312"/>
                <w:sz w:val="24"/>
                <w:szCs w:val="24"/>
              </w:rPr>
              <w:t xml:space="preserve">  （盖章）</w:t>
            </w:r>
          </w:p>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cs="Times New Roman"/>
                <w:sz w:val="24"/>
                <w:szCs w:val="24"/>
              </w:rPr>
            </w:pPr>
            <w:r>
              <w:rPr>
                <w:rFonts w:hint="eastAsia" w:ascii="仿宋_GB2312" w:hAnsi="仿宋_GB2312" w:eastAsia="仿宋_GB2312" w:cs="仿宋_GB2312"/>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jc w:val="center"/>
        </w:trPr>
        <w:tc>
          <w:tcPr>
            <w:tcW w:w="2465" w:type="dxa"/>
            <w:gridSpan w:val="2"/>
            <w:tcBorders>
              <w:tl2br w:val="nil"/>
              <w:tr2bl w:val="nil"/>
            </w:tcBorders>
            <w:noWrap w:val="0"/>
            <w:vAlign w:val="center"/>
          </w:tcPr>
          <w:p>
            <w:r>
              <w:rPr>
                <w:rFonts w:hint="eastAsia" w:ascii="Times New Roman" w:hAnsi="Times New Roman" w:eastAsia="黑体" w:cs="Times New Roman"/>
                <w:b w:val="0"/>
                <w:bCs/>
                <w:sz w:val="24"/>
                <w:szCs w:val="24"/>
                <w:lang w:val="en-US" w:eastAsia="zh-CN"/>
              </w:rPr>
              <w:t>县（市）</w:t>
            </w:r>
            <w:r>
              <w:rPr>
                <w:rFonts w:hint="eastAsia" w:ascii="Times New Roman" w:hAnsi="Times New Roman" w:eastAsia="黑体" w:cs="Times New Roman"/>
                <w:b w:val="0"/>
                <w:bCs/>
                <w:sz w:val="24"/>
                <w:szCs w:val="24"/>
                <w:lang w:eastAsia="zh-CN"/>
              </w:rPr>
              <w:t>区人力资源</w:t>
            </w:r>
            <w:r>
              <w:rPr>
                <w:rFonts w:hint="default" w:ascii="Times New Roman" w:hAnsi="Times New Roman" w:eastAsia="黑体" w:cs="Times New Roman"/>
                <w:b w:val="0"/>
                <w:bCs/>
                <w:sz w:val="24"/>
                <w:szCs w:val="24"/>
              </w:rPr>
              <w:t>部门</w:t>
            </w:r>
          </w:p>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default" w:ascii="Times New Roman" w:hAnsi="Times New Roman" w:eastAsia="黑体" w:cs="Times New Roman"/>
                <w:b w:val="0"/>
                <w:bCs/>
                <w:sz w:val="24"/>
                <w:szCs w:val="24"/>
              </w:rPr>
            </w:pPr>
            <w:r>
              <w:rPr>
                <w:rFonts w:hint="eastAsia" w:ascii="Times New Roman" w:hAnsi="Times New Roman" w:eastAsia="黑体" w:cs="Times New Roman"/>
                <w:b w:val="0"/>
                <w:bCs/>
                <w:sz w:val="24"/>
                <w:szCs w:val="24"/>
                <w:lang w:val="en-US" w:eastAsia="zh-CN"/>
              </w:rPr>
              <w:t>审批</w:t>
            </w:r>
            <w:r>
              <w:rPr>
                <w:rFonts w:hint="default" w:ascii="Times New Roman" w:hAnsi="Times New Roman" w:eastAsia="黑体" w:cs="Times New Roman"/>
                <w:b w:val="0"/>
                <w:bCs/>
                <w:sz w:val="24"/>
                <w:szCs w:val="24"/>
              </w:rPr>
              <w:t>意见</w:t>
            </w:r>
          </w:p>
        </w:tc>
        <w:tc>
          <w:tcPr>
            <w:tcW w:w="6334"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0" w:lineRule="atLeast"/>
              <w:textAlignment w:val="auto"/>
              <w:rPr>
                <w:rFonts w:hint="default" w:ascii="Times New Roman" w:hAnsi="Times New Roman" w:cs="Times New Roman"/>
                <w:sz w:val="24"/>
                <w:szCs w:val="24"/>
                <w:highlight w:val="none"/>
              </w:rPr>
            </w:pPr>
            <w:r>
              <w:rPr>
                <w:rFonts w:hint="default" w:ascii="Times New Roman" w:hAnsi="Times New Roman" w:eastAsia="仿宋_GB2312" w:cs="Times New Roman"/>
                <w:color w:val="000000"/>
                <w:kern w:val="0"/>
                <w:sz w:val="24"/>
                <w:szCs w:val="24"/>
                <w:highlight w:val="none"/>
                <w:lang w:bidi="ar"/>
              </w:rPr>
              <w:t>同意。</w:t>
            </w:r>
          </w:p>
          <w:p>
            <w:pPr>
              <w:keepNext w:val="0"/>
              <w:keepLines w:val="0"/>
              <w:pageBreakBefore w:val="0"/>
              <w:widowControl w:val="0"/>
              <w:kinsoku/>
              <w:wordWrap/>
              <w:overflowPunct/>
              <w:topLinePunct w:val="0"/>
              <w:autoSpaceDE/>
              <w:autoSpaceDN/>
              <w:bidi w:val="0"/>
              <w:adjustRightInd/>
              <w:spacing w:line="0" w:lineRule="atLeast"/>
              <w:jc w:val="center"/>
              <w:textAlignment w:val="auto"/>
              <w:rPr>
                <w:rFonts w:hint="eastAsia" w:ascii="仿宋_GB2312" w:hAnsi="仿宋_GB2312" w:eastAsia="仿宋_GB2312" w:cs="仿宋_GB2312"/>
                <w:sz w:val="24"/>
                <w:szCs w:val="24"/>
              </w:rPr>
            </w:pPr>
            <w:r>
              <w:rPr>
                <w:rFonts w:hint="default" w:ascii="Times New Roman" w:hAnsi="Times New Roman" w:cs="Times New Roman"/>
                <w:sz w:val="24"/>
                <w:szCs w:val="24"/>
              </w:rPr>
              <w:t xml:space="preserve">                           </w:t>
            </w:r>
            <w:r>
              <w:rPr>
                <w:rFonts w:hint="eastAsia" w:ascii="仿宋_GB2312" w:hAnsi="仿宋_GB2312" w:eastAsia="仿宋_GB2312" w:cs="仿宋_GB2312"/>
                <w:sz w:val="24"/>
                <w:szCs w:val="24"/>
              </w:rPr>
              <w:t>（盖章）</w:t>
            </w:r>
          </w:p>
          <w:p>
            <w:pPr>
              <w:keepNext w:val="0"/>
              <w:keepLines w:val="0"/>
              <w:pageBreakBefore w:val="0"/>
              <w:widowControl w:val="0"/>
              <w:kinsoku/>
              <w:wordWrap/>
              <w:overflowPunct/>
              <w:topLinePunct w:val="0"/>
              <w:autoSpaceDE/>
              <w:autoSpaceDN/>
              <w:bidi w:val="0"/>
              <w:adjustRightInd/>
              <w:spacing w:line="0" w:lineRule="atLeast"/>
              <w:jc w:val="left"/>
              <w:textAlignment w:val="auto"/>
              <w:rPr>
                <w:rFonts w:hint="default" w:ascii="Times New Roman" w:hAnsi="Times New Roman" w:cs="Times New Roman"/>
                <w:sz w:val="24"/>
                <w:szCs w:val="24"/>
              </w:rPr>
            </w:pPr>
            <w:r>
              <w:rPr>
                <w:rFonts w:hint="eastAsia" w:ascii="仿宋_GB2312" w:hAnsi="仿宋_GB2312" w:eastAsia="仿宋_GB2312" w:cs="仿宋_GB2312"/>
                <w:sz w:val="24"/>
                <w:szCs w:val="24"/>
              </w:rPr>
              <w:t xml:space="preserve">                                 年   月   日</w:t>
            </w:r>
          </w:p>
        </w:tc>
      </w:tr>
    </w:tbl>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备注：以上表格中所涉工作如暂未开展，可不填。</w:t>
      </w:r>
    </w:p>
    <w:p>
      <w:pPr>
        <w:pStyle w:val="2"/>
        <w:rPr>
          <w:rFonts w:hint="eastAsia" w:ascii="仿宋" w:hAnsi="仿宋" w:eastAsia="仿宋"/>
          <w:sz w:val="32"/>
          <w:szCs w:val="32"/>
        </w:rPr>
      </w:pPr>
      <w:bookmarkStart w:id="0" w:name="_GoBack"/>
      <w:bookmarkEnd w:id="0"/>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altName w:val="微软雅黑"/>
    <w:panose1 w:val="02010609060101010101"/>
    <w:charset w:val="86"/>
    <w:family w:val="modern"/>
    <w:pitch w:val="default"/>
    <w:sig w:usb0="00000000" w:usb1="00000000" w:usb2="00000016" w:usb3="00000000" w:csb0="00040001" w:csb1="00000000"/>
  </w:font>
  <w:font w:name="华文仿宋">
    <w:altName w:val="汉仪仿宋简"/>
    <w:panose1 w:val="02010600040101010101"/>
    <w:charset w:val="86"/>
    <w:family w:val="auto"/>
    <w:pitch w:val="default"/>
    <w:sig w:usb0="00000000" w:usb1="00000000" w:usb2="00000000" w:usb3="00000000" w:csb0="0004009F" w:csb1="DFD70000"/>
  </w:font>
  <w:font w:name="楷体">
    <w:altName w:val="方正楷体_GBK"/>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汉仪仿宋简">
    <w:panose1 w:val="02010600000101010101"/>
    <w:charset w:val="86"/>
    <w:family w:val="auto"/>
    <w:pitch w:val="default"/>
    <w:sig w:usb0="00000001" w:usb1="080E0800" w:usb2="00000002"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00"/>
    <w:family w:val="modern"/>
    <w:pitch w:val="default"/>
    <w:sig w:usb0="00000000" w:usb1="00000000" w:usb2="00000016" w:usb3="00000000" w:csb0="00040001" w:csb1="00000000"/>
  </w:font>
  <w:font w:name="仿宋">
    <w:altName w:val="微软雅黑"/>
    <w:panose1 w:val="02010609060101010101"/>
    <w:charset w:val="00"/>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8E"/>
    <w:rsid w:val="000B4BA5"/>
    <w:rsid w:val="00424181"/>
    <w:rsid w:val="00440904"/>
    <w:rsid w:val="00481616"/>
    <w:rsid w:val="0048588E"/>
    <w:rsid w:val="00662671"/>
    <w:rsid w:val="00691D59"/>
    <w:rsid w:val="006D19D7"/>
    <w:rsid w:val="008416D9"/>
    <w:rsid w:val="008F588C"/>
    <w:rsid w:val="009B12CD"/>
    <w:rsid w:val="00B77706"/>
    <w:rsid w:val="00D14F99"/>
    <w:rsid w:val="00E94B17"/>
    <w:rsid w:val="00EA0E41"/>
    <w:rsid w:val="00F020FA"/>
    <w:rsid w:val="00FF3172"/>
    <w:rsid w:val="57DE3D6B"/>
    <w:rsid w:val="5DCF7A9D"/>
    <w:rsid w:val="6FD52B93"/>
    <w:rsid w:val="73362078"/>
    <w:rsid w:val="77BD5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3">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9">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rFonts w:ascii="Calibri" w:hAnsi="Calibri" w:eastAsia="宋体" w:cs="Times New Roman"/>
      <w:sz w:val="21"/>
    </w:rPr>
  </w:style>
  <w:style w:type="paragraph" w:styleId="12">
    <w:name w:val="footer"/>
    <w:basedOn w:val="1"/>
    <w:semiHidden/>
    <w:unhideWhenUsed/>
    <w:qFormat/>
    <w:uiPriority w:val="99"/>
    <w:pPr>
      <w:tabs>
        <w:tab w:val="center" w:pos="4153"/>
        <w:tab w:val="right" w:pos="8306"/>
      </w:tabs>
      <w:snapToGrid w:val="0"/>
      <w:jc w:val="left"/>
    </w:pPr>
    <w:rPr>
      <w:sz w:val="18"/>
    </w:rPr>
  </w:style>
  <w:style w:type="paragraph" w:styleId="1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3"/>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6"/>
    <w:semiHidden/>
    <w:qFormat/>
    <w:uiPriority w:val="9"/>
    <w:rPr>
      <w:rFonts w:cstheme="majorBidi"/>
      <w:color w:val="2F5597" w:themeColor="accent1" w:themeShade="BF"/>
      <w:sz w:val="28"/>
      <w:szCs w:val="28"/>
    </w:rPr>
  </w:style>
  <w:style w:type="character" w:customStyle="1" w:styleId="23">
    <w:name w:val="标题 5 字符"/>
    <w:basedOn w:val="18"/>
    <w:link w:val="7"/>
    <w:semiHidden/>
    <w:qFormat/>
    <w:uiPriority w:val="9"/>
    <w:rPr>
      <w:rFonts w:cstheme="majorBidi"/>
      <w:color w:val="2F5597" w:themeColor="accent1" w:themeShade="BF"/>
      <w:sz w:val="24"/>
    </w:rPr>
  </w:style>
  <w:style w:type="character" w:customStyle="1" w:styleId="24">
    <w:name w:val="标题 6 字符"/>
    <w:basedOn w:val="18"/>
    <w:link w:val="8"/>
    <w:semiHidden/>
    <w:qFormat/>
    <w:uiPriority w:val="9"/>
    <w:rPr>
      <w:rFonts w:cstheme="majorBidi"/>
      <w:b/>
      <w:bCs/>
      <w:color w:val="2F5597" w:themeColor="accent1" w:themeShade="BF"/>
    </w:rPr>
  </w:style>
  <w:style w:type="character" w:customStyle="1" w:styleId="25">
    <w:name w:val="标题 7 字符"/>
    <w:basedOn w:val="18"/>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Intense Reference"/>
    <w:basedOn w:val="18"/>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437</Words>
  <Characters>2494</Characters>
  <Lines>20</Lines>
  <Paragraphs>5</Paragraphs>
  <TotalTime>0</TotalTime>
  <ScaleCrop>false</ScaleCrop>
  <LinksUpToDate>false</LinksUpToDate>
  <CharactersWithSpaces>2926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2026-08-04T10:03:00Z</dcterms:created>
  <dc:creator>User</dc:creator>
  <cp:lastModifiedBy>uos</cp:lastModifiedBy>
  <cp:lastPrinted>2026-08-25T11:51:00Z</cp:lastPrinted>
  <dcterms:modified xsi:type="dcterms:W3CDTF">2026-08-26T17:54:32Z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11E1D799300848A69F8A5887FBBB5B0E</vt:lpwstr>
  </property>
</Properties>
</file>