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napToGrid w:val="0"/>
        <w:spacing w:line="460" w:lineRule="exact"/>
        <w:ind w:firstLine="573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附件一：技术和服务要求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71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设备名称</w:t>
            </w:r>
          </w:p>
        </w:tc>
        <w:tc>
          <w:tcPr>
            <w:tcW w:w="7371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招标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参数</w:t>
            </w:r>
          </w:p>
        </w:tc>
        <w:tc>
          <w:tcPr>
            <w:tcW w:w="782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内网核心交换机</w:t>
            </w:r>
          </w:p>
        </w:tc>
        <w:tc>
          <w:tcPr>
            <w:tcW w:w="7371" w:type="dxa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1.交换容量≥168Tbps，包转发率≥36000Mpps，具备主控交换卡、电源、接口模块、风扇、网板等关键部件可热插拔，电源模块冗余；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2.槽位数量≥3，单槽位能够同时提供千兆光口、千兆电口、万兆光口，且实际可用端口总数≥48，提高槽位利用率和业务可靠性，提供官网链接及截图证明材料；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3.聚合组数≥64组，每组成员≥16个，支持跨设备链路聚合 (M-LAG)，支持 M-LAG 无损升级；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4.支持SP，WRR、WFQ、PQ等队列调度机制，支持流量整形，支持拥塞避免；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5.支持 IRF 四框堆叠及统一管理，支持跨框链路聚合冗余零丢包，提供权威第三方检测报告；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6.具备热补丁功能，可在线进行补丁升级，支持BFD for VRRP/BGP/IS-IS/OSPF/静态路由等，实现各协议的快速故障检测机制，故障检测时间小于50ms；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7.支持 MDC(虚拟交换机)创建、删除、接口板划入/划出，支持不同 MDC表项学习独立及流量隔离，多个 MDC 可以实现表项叠加，最多支持 3个MDC，提供权威第三方检测报告；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8.支持OPENFLOW 1.3标准，支持多控制器（EQUAL模式、主备模式），支持多表流水线，支持Group table，支持Meter；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9.支持 IPv4/IPV6 DHCP Snooping、DHCP releay、DHCP Server 功能，支持ARP防攻击；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10.具备 RRPP 功能，且收敛时间小于 50ms，具备 ERPS 环网技术，且收敛时间小于 15ms，提供权威第三方检测报告；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11.内置 Smart MC管理功能，实现纵向虚拟化，对于下联设备具备统一管理的功能，提供权威第三方检测报告；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12.支持 FW 防火墙功能，支持IPS 防火墙功能，提供权威第三方检测报告；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13.支持端口镜像和流镜像功能，支持端口隔离，支持802.1d（STP）/802.1w（RSTP）/802.1s（MSTP），支持PVST+；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14.支持Portal认证，支持MAC认证，支持HWTACACS,支持命令行认证，支持OSPF、RIPv2 及BGPv4 报文的明文及MD5密文认证；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15.实配单主控，双电源，实配千兆电口≥24个，万兆光口≥4个。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6.本次设备需要和现有设备级联互通，实现无缝链接。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17.服务：数据割接，数据迁移服务，将原有机房设备和新的设备实现数据互通。并且要将线缆进行整理、标记、绑扎和规划，以确保线缆布局的有序性、可维护性和安全性。包括使用线缆扎带和线缆槽等工具来固定和保护线缆，避免线缆过度弯曲或交叉，减少电磁干扰和物理损坏的风险。同时，对线缆进行精确的标识，以便于快速识别和追踪每根线缆的连接点，提高故障排查的效率。项目验收前需完成设备使用培训。（投标时提供加盖使用单位公章的现场勘察证明）</w:t>
            </w:r>
          </w:p>
          <w:p>
            <w:pPr>
              <w:tabs>
                <w:tab w:val="left" w:pos="6300"/>
              </w:tabs>
              <w:snapToGrid w:val="0"/>
              <w:spacing w:line="4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8.为保证产品质量，需针对本次项目提供原厂售后服务承诺函。</w:t>
            </w:r>
          </w:p>
        </w:tc>
        <w:tc>
          <w:tcPr>
            <w:tcW w:w="782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内网接入交换机</w:t>
            </w:r>
          </w:p>
        </w:tc>
        <w:tc>
          <w:tcPr>
            <w:tcW w:w="7371" w:type="dxa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1、交换容量≥3.36Tbps，包转发率≥144Mpps；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2、端口支持≥48个10/100/1000 BASE-T电口, ≥4个1G/10G BASE-X SFP Plus端口；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3、支持Jumbo Frame，支持802.1X，MAC认证，端口安全，支持LACP协议，支持4K个VLAN，支持最大16K MAC地址及黑洞MAC等特性；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4、支持IRF2（第二代智能弹性架构）技术，能够将多台物理设备互相连接起来，使其虚拟为一台逻辑设备；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5、支持丰富的ARP防御功能，例如ARP Detection，实现用户合法性检查功能和ARP报文有效性检查功能，ARP限速，避免大量ARP报文对CPU进行冲击；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6、支持多种认证方式，802.1X认证、集中MAC认证等等，灵活适应这种网络环境的多认证需求；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7、支持L2（Layer 2）~L4（Layer 4）包过滤功能，提供流分类技术。提供灵活的对列调度算法，可以同时基于端口和队列进行设置，支持SP、WRR、SP+WRR三种模式。同时还支持入/出方向双向ACL、支持流量监管功能、支持出/入方向的端口/流镜像，用于对指定端口上的报文进行监控，以进行网络检测和故障排除。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8、支持丰富的三层路由特性，支持静态路由、RIP 、RIPng、OSPF V1/V2/V3 等路由特性；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9、支持SNMPv1/v2/v3，可支持iMC智能管理中心。支持CLI命令行，Web网管，TELNET，使设备管理更方便，并且支持SSH2.0等加密方式，使得管理更加安全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0.本次设备需要和现有设备级联互通，实现无缝链接。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. 服务：数据割接，数据迁移服务，将原有机房设备和新的设备实现数据互通。并且要将线缆进行整理、标记、绑扎和规划，以确保线缆布局的有序性、可维护性和安全性。包括使用线缆扎带和线缆槽等工具来固定和保护线缆，避免线缆过度弯曲或交叉，减少电磁干扰和物理损坏的风险。同时，对线缆进行精确的标识，以便于快速识别和追踪每根线缆的连接点，提高故障排查的效率。项目验收前需完成设备使用培训。（投标时提供加盖使用单位公章的现场勘察证明）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2.为保证产品质量，需针对本次项目提供原厂售后服务承诺函。</w:t>
            </w:r>
          </w:p>
        </w:tc>
        <w:tc>
          <w:tcPr>
            <w:tcW w:w="782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内网核心交换机</w:t>
            </w:r>
          </w:p>
        </w:tc>
        <w:tc>
          <w:tcPr>
            <w:tcW w:w="7371" w:type="dxa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1.交换容量≥168Tbps，包转发率≥36000Mpps，具备主控交换卡、电源、接口模块、风扇、网板等关键部件可热插拔，电源模块冗余；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2.槽位数量≥3，单槽位能够同时提供千兆光口、千兆电口、万兆光口，且实际可用端口总数≥48，提高槽位利用率和业务可靠性，提供官网链接及截图证明材料；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3.聚合组数≥64组，每组成员≥16个，支持跨设备链路聚合 (M-LAG)，支持 M-LAG 无损升级；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4.支持SP，WRR、WFQ、PQ等队列调度机制，支持流量整形，支持拥塞避免；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5.支持 IRF 四框堆叠及统一管理，支持跨框链路聚合冗余零丢包，提供权威第三方检测报告；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6.具备热补丁功能，可在线进行补丁升级，支持BFD for VRRP/BGP/IS-IS/OSPF/静态路由等，实现各协议的快速故障检测机制，故障检测时间小于50ms；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7.支持 MDC(虚拟交换机)创建、删除、接口板划入/划出，支持不同 MDC表项学习独立及流量隔离，多个 MDC 可以实现表项叠加，最多支持 3个MDC，提供权威第三方检测报告；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8.支持OPENFLOW 1.3标准，支持多控制器（EQUAL模式、主备模式），支持多表流水线，支持Group table，支持Meter；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9.支持 IPv4/IPV6 DHCP Snooping、DHCP releay、DHCP Server 功能，支持ARP防攻击；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10.具备 RRPP 功能，且收敛时间小于 50ms，具备 ERPS 环网技术，且收敛时间小于 15ms，提供权威第三方检测报告；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11.内置 Smart MC管理功能，实现纵向虚拟化，对于下联设备具备统一管理的功能，提供权威第三方检测报告；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12.支持 FW 防火墙功能，支持IPS 防火墙功能，提供权威第三方检测报告；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13.支持端口镜像和流镜像功能，支持端口隔离，支持802.1d（STP）/802.1w（RSTP）/802.1s（MSTP），支持PVST+；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14.支持Portal认证，支持MAC认证，支持HWTACACS,支持命令行认证，支持OSPF、RIPv2 及BGPv4 报文的明文及MD5密文认证；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15.实配单主控，双电源，实配千兆电口≥24个，万兆光口≥4个。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6.本次设备需要和现有设备级联互通，实现无缝链接。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17. 服务：数据割接，数据迁移服务，将原有机房设备和新的设备实现数据互通。并且要将线缆进行整理、标记、绑扎和规划，以确保线缆布局的有序性、可维护性和安全性。包括使用线缆扎带和线缆槽等工具来固定和保护线缆，避免线缆过度弯曲或交叉，减少电磁干扰和物理损坏的风险。同时，对线缆进行精确的标识，以便于快速识别和追踪每根线缆的连接点，提高故障排查的效率。项目验收前需完成设备使用培训。（投标时提供加盖使用单位公章的现场勘察证明）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8.为保证产品质量，需针对本次项目提供原厂售后服务承诺函。</w:t>
            </w:r>
          </w:p>
        </w:tc>
        <w:tc>
          <w:tcPr>
            <w:tcW w:w="782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内网接入交换机</w:t>
            </w:r>
          </w:p>
        </w:tc>
        <w:tc>
          <w:tcPr>
            <w:tcW w:w="7371" w:type="dxa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1、交换容量≥3.36Tbps，包转发率≥144Mpps；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2、端口支持≥48个10/100/1000 BASE-T电口, ≥4个1G/10G BASE-X SFP Plus端口；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3、支持Jumbo Frame，支持802.1X，MAC认证，端口安全，支持LACP协议，支持4K个VLAN，支持最大16K MAC地址及黑洞MAC等特性；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4、支持IRF2（第二代智能弹性架构）技术，能够将多台物理设备互相连接起来，使其虚拟为一台逻辑设备；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5、支持丰富的ARP防御功能，例如ARP Detection，实现用户合法性检查功能和ARP报文有效性检查功能，ARP限速，避免大量ARP报文对CPU进行冲击；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6、支持多种认证方式，802.1X认证、集中MAC认证等等，灵活适应这种网络环境的多认证需求；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7、支持L2（Layer 2）~L4（Layer 4）包过滤功能，提供流分类技术。提供灵活的对列调度算法，可以同时基于端口和队列进行设置，支持SP、WRR、SP+WRR三种模式。同时还支持入/出方向双向ACL、支持流量监管功能、支持出/入方向的端口/流镜像，用于对指定端口上的报文进行监控，以进行网络检测和故障排除。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8、支持丰富的三层路由特性，支持静态路由、RIP 、RIPng、OSPF V1/V2/V3 等路由特性；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9、支持SNMPv1/v2/v3，可支持iMC智能管理中心。支持CLI命令行，Web网管，TELNET，使设备管理更方便，并且支持SSH2.0等加密方式，使得管理更加安全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0.本次设备需要和现有设备级联互通，实现无缝链接。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.服务：数据割接，数据迁移服务，将原有机房设备和新的设备实现数据互通。并且要将线缆进行整理、标记、绑扎和规划，以确保线缆布局的有序性、可维护性和安全性。包括使用线缆扎带和线缆槽等工具来固定和保护线缆，避免线缆过度弯曲或交叉，减少电磁干扰和物理损坏的风险。同时，对线缆进行精确的标识，以便于快速识别和追踪每根线缆的连接点，提高故障排查的效率。项目验收前需完成设备使用培训。（投标时提供加盖使用单位公章的现场勘察证明）</w:t>
            </w:r>
          </w:p>
          <w:p>
            <w:pPr>
              <w:tabs>
                <w:tab w:val="left" w:pos="6300"/>
              </w:tabs>
              <w:snapToGrid w:val="0"/>
              <w:spacing w:line="4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2.为保证产品质量，需针对本次项目提供原厂售后服务承诺函</w:t>
            </w:r>
          </w:p>
        </w:tc>
        <w:tc>
          <w:tcPr>
            <w:tcW w:w="782" w:type="dxa"/>
          </w:tcPr>
          <w:p>
            <w:pPr>
              <w:tabs>
                <w:tab w:val="left" w:pos="6300"/>
              </w:tabs>
              <w:snapToGrid w:val="0"/>
              <w:spacing w:line="460" w:lineRule="exac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3</w:t>
            </w:r>
          </w:p>
        </w:tc>
      </w:tr>
    </w:tbl>
    <w:p>
      <w:pPr>
        <w:tabs>
          <w:tab w:val="left" w:pos="6300"/>
        </w:tabs>
        <w:snapToGrid w:val="0"/>
        <w:spacing w:line="460" w:lineRule="exact"/>
        <w:ind w:firstLine="573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/>
        <w:jc w:val="left"/>
        <w:rPr>
          <w:rFonts w:cs="宋体" w:asciiTheme="minorEastAsia" w:hAnsiTheme="minorEastAsia" w:eastAsiaTheme="minorEastAsia"/>
          <w:b/>
          <w:bCs/>
          <w:sz w:val="84"/>
          <w:szCs w:val="84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6" w:h="16838"/>
      <w:pgMar w:top="1440" w:right="1080" w:bottom="1440" w:left="1080" w:header="851" w:footer="992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LHNWLK+MicrosoftYaHei">
    <w:altName w:val="Microsoft YaHei UI"/>
    <w:panose1 w:val="00000000000000000000"/>
    <w:charset w:val="01"/>
    <w:family w:val="swiss"/>
    <w:pitch w:val="default"/>
    <w:sig w:usb0="00000000" w:usb1="00000000" w:usb2="00000010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Style w:val="11"/>
      </w:rPr>
    </w:pPr>
    <w:r>
      <w:rPr>
        <w:rStyle w:val="11"/>
        <w:rFonts w:hint="eastAsia" w:cs="宋体"/>
      </w:rPr>
      <w:t>第</w:t>
    </w:r>
    <w:r>
      <w:fldChar w:fldCharType="begin"/>
    </w:r>
    <w:r>
      <w:rPr>
        <w:rStyle w:val="11"/>
        <w:rFonts w:cs="Calibri"/>
      </w:rPr>
      <w:instrText xml:space="preserve"> PAGE </w:instrText>
    </w:r>
    <w:r>
      <w:fldChar w:fldCharType="separate"/>
    </w:r>
    <w:r>
      <w:rPr>
        <w:rStyle w:val="11"/>
        <w:rFonts w:cs="Calibri"/>
      </w:rPr>
      <w:t>9</w:t>
    </w:r>
    <w:r>
      <w:fldChar w:fldCharType="end"/>
    </w:r>
    <w:r>
      <w:rPr>
        <w:rStyle w:val="11"/>
        <w:rFonts w:hint="eastAsia" w:cs="宋体"/>
      </w:rPr>
      <w:t>页共</w:t>
    </w:r>
    <w:r>
      <w:fldChar w:fldCharType="begin"/>
    </w:r>
    <w:r>
      <w:rPr>
        <w:rStyle w:val="11"/>
        <w:rFonts w:cs="Calibri"/>
      </w:rPr>
      <w:instrText xml:space="preserve"> NUMPAGES </w:instrText>
    </w:r>
    <w:r>
      <w:fldChar w:fldCharType="separate"/>
    </w:r>
    <w:r>
      <w:rPr>
        <w:rStyle w:val="11"/>
        <w:rFonts w:cs="Calibri"/>
      </w:rPr>
      <w:t>9</w:t>
    </w:r>
    <w:r>
      <w:fldChar w:fldCharType="end"/>
    </w:r>
    <w:r>
      <w:rPr>
        <w:rStyle w:val="11"/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cs="Times New Roman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1A98"/>
    <w:rsid w:val="71603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99"/>
    <w:pPr>
      <w:jc w:val="left"/>
    </w:pPr>
    <w:rPr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paragraph" w:customStyle="1" w:styleId="12">
    <w:name w:val="正文_0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标题 3 Char"/>
    <w:basedOn w:val="9"/>
    <w:semiHidden/>
    <w:qFormat/>
    <w:uiPriority w:val="0"/>
    <w:rPr>
      <w:rFonts w:ascii="Calibri" w:hAnsi="Calibri" w:cs="Calibri"/>
      <w:b/>
      <w:bCs/>
      <w:kern w:val="2"/>
      <w:sz w:val="32"/>
      <w:szCs w:val="32"/>
    </w:rPr>
  </w:style>
  <w:style w:type="character" w:customStyle="1" w:styleId="14">
    <w:name w:val="标题 3 Char1"/>
    <w:link w:val="2"/>
    <w:qFormat/>
    <w:uiPriority w:val="0"/>
    <w:rPr>
      <w:b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5082</Words>
  <Characters>5952</Characters>
  <Lines>46</Lines>
  <Paragraphs>13</Paragraphs>
  <TotalTime>1</TotalTime>
  <ScaleCrop>false</ScaleCrop>
  <LinksUpToDate>false</LinksUpToDate>
  <CharactersWithSpaces>6329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2024-02-26T11:20:00Z</dcterms:created>
  <dc:creator>浅惜1415447803</dc:creator>
  <cp:lastModifiedBy>Administrator</cp:lastModifiedBy>
  <cp:lastPrinted>2024-06-28T11:24:00Z</cp:lastPrinted>
  <dcterms:modified xsi:type="dcterms:W3CDTF">2024-07-16T02:42:25Z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028084CD8D144A388BC8B6F06899D00A</vt:lpwstr>
  </property>
</Properties>
</file>