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400" w:lineRule="exact"/>
        <w:ind w:firstLine="0" w:firstLineChars="0"/>
        <w:jc w:val="center"/>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吊塔参数</w:t>
      </w:r>
    </w:p>
    <w:p>
      <w:pPr>
        <w:pStyle w:val="11"/>
        <w:spacing w:line="400" w:lineRule="exact"/>
        <w:ind w:firstLine="0" w:firstLineChars="0"/>
        <w:jc w:val="left"/>
        <w:rPr>
          <w:rFonts w:hint="default" w:ascii="宋体" w:hAnsi="宋体" w:eastAsia="宋体"/>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lang w:eastAsia="zh-CN"/>
          <w14:textFill>
            <w14:solidFill>
              <w14:schemeClr w14:val="tx1"/>
            </w14:solidFill>
          </w14:textFill>
        </w:rPr>
        <w:t>数量：</w:t>
      </w:r>
      <w:r>
        <w:rPr>
          <w:rFonts w:hint="eastAsia" w:ascii="宋体" w:hAnsi="宋体"/>
          <w:color w:val="000000" w:themeColor="text1"/>
          <w:sz w:val="24"/>
          <w:szCs w:val="24"/>
          <w:lang w:val="en-US" w:eastAsia="zh-CN"/>
          <w14:textFill>
            <w14:solidFill>
              <w14:schemeClr w14:val="tx1"/>
            </w14:solidFill>
          </w14:textFill>
        </w:rPr>
        <w:t>15套</w:t>
      </w:r>
      <w:bookmarkStart w:id="0" w:name="_GoBack"/>
      <w:bookmarkEnd w:id="0"/>
    </w:p>
    <w:p>
      <w:pPr>
        <w:pStyle w:val="11"/>
        <w:spacing w:line="400" w:lineRule="exact"/>
        <w:ind w:firstLine="0" w:firstLineChars="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1、吊塔主体材料要求为高强度铝合金，全封闭式设计，吊塔所采用的材料应采用防腐蚀抗菌材料，其具有表面抑制细菌再生作用。</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2、吊塔旋转角度≥340度，且具有良好的限位系统。</w:t>
      </w:r>
    </w:p>
    <w:p>
      <w:pPr>
        <w:pStyle w:val="11"/>
        <w:spacing w:line="400" w:lineRule="exact"/>
        <w:ind w:firstLine="0" w:firstLineChars="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3、所有吊塔上承载的设备的电源线路及气源管路和塔体之间没有相对移动，所有电源线路及气源管路必须在塔体内不能外露，保证吊塔在移动过程中，不会因位置的改变导致线路脱落的意外发生。</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▲4、吊塔应符合有害物质限制指令标准，标准编号：EN 50581:2012。（提供证明文件）</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▲5、吊塔应符合IECQ QC 080000危险品过程管理体系的要求。（提供证明文件）</w:t>
      </w:r>
    </w:p>
    <w:p>
      <w:pPr>
        <w:pStyle w:val="11"/>
        <w:spacing w:line="400" w:lineRule="exact"/>
        <w:ind w:firstLine="0" w:firstLineChars="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▲6、吊塔吊柱为四面柱体结构，电源插座和气体终端可以选择同时安装在箱体同一侧同一个安装面，采用上电下气的排布方式，方便临床使用。（提供有效的实物图片证明或者彩页证明）</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7、吊塔腔体底部具备排气孔，如有气体泄露，能尽快排放。</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★8、吊塔医用气体管路系统符合国际EN ISO 9170-1（终端装置医用气体管道系统）和EN ISO 5359（医用气体低压软管组件）要求。（提供有效的由国家食品药品监督管理局所授权的医疗器械检验机构所出具的检测报告）</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9、为保证临床使用安全，所有医用气体软管符合生物相容性ISO 10993要求，检测内容应至少包含皮肤刺激测试、细胞毒性测试、致敏测试，并在检测报告上有明确说明上述三项测试结果，提供检测报告证明。</w:t>
      </w:r>
    </w:p>
    <w:p>
      <w:pPr>
        <w:spacing w:line="400" w:lineRule="exact"/>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10、吊塔电源为单相220V电源，要求有专用的电源接地线、相线、中线三线供给，电源插座容量为单相220V/10A。</w:t>
      </w:r>
    </w:p>
    <w:p>
      <w:pPr>
        <w:pStyle w:val="13"/>
        <w:spacing w:line="400" w:lineRule="exact"/>
        <w:ind w:firstLine="0" w:firstLineChars="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11、气体终端要求：要求所有气体插座和接头为德国制式。各种气体插座均为不同颜色和不同形状，防止误操作，具有Standby (原位待接通状态)功能。插座插头可保证2万次以上的插拔，可带气维修。</w:t>
      </w:r>
    </w:p>
    <w:p>
      <w:pPr>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2</w:t>
      </w:r>
      <w:r>
        <w:rPr>
          <w:rFonts w:hint="eastAsia" w:ascii="宋体" w:hAnsi="宋体" w:eastAsia="宋体"/>
          <w:color w:val="000000" w:themeColor="text1"/>
          <w:sz w:val="24"/>
          <w:szCs w:val="24"/>
          <w14:textFill>
            <w14:solidFill>
              <w14:schemeClr w14:val="tx1"/>
            </w14:solidFill>
          </w14:textFill>
        </w:rPr>
        <w:t>、气电箱为方形全封闭式设计，托盘可选择安装在其中任意一面，气电终端可以选择在另外三面任意安装。</w:t>
      </w:r>
    </w:p>
    <w:p>
      <w:pPr>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13</w:t>
      </w:r>
      <w:r>
        <w:rPr>
          <w:rFonts w:hint="eastAsia" w:ascii="宋体" w:hAnsi="宋体" w:eastAsia="宋体"/>
          <w:color w:val="000000" w:themeColor="text1"/>
          <w:sz w:val="24"/>
          <w:szCs w:val="24"/>
          <w14:textFill>
            <w14:solidFill>
              <w14:schemeClr w14:val="tx1"/>
            </w14:solidFill>
          </w14:textFill>
        </w:rPr>
        <w:t>、吊塔的防护等级应符合GB</w:t>
      </w:r>
      <w:r>
        <w:rPr>
          <w:rFonts w:ascii="宋体" w:hAnsi="宋体" w:eastAsia="宋体"/>
          <w:color w:val="000000" w:themeColor="text1"/>
          <w:sz w:val="24"/>
          <w:szCs w:val="24"/>
          <w14:textFill>
            <w14:solidFill>
              <w14:schemeClr w14:val="tx1"/>
            </w14:solidFill>
          </w14:textFill>
        </w:rPr>
        <w:t>4208</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2008</w:t>
      </w:r>
      <w:r>
        <w:rPr>
          <w:rFonts w:hint="eastAsia" w:ascii="宋体" w:hAnsi="宋体" w:eastAsia="宋体"/>
          <w:color w:val="000000" w:themeColor="text1"/>
          <w:sz w:val="24"/>
          <w:szCs w:val="24"/>
          <w14:textFill>
            <w14:solidFill>
              <w14:schemeClr w14:val="tx1"/>
            </w14:solidFill>
          </w14:textFill>
        </w:rPr>
        <w:t>中IP</w:t>
      </w:r>
      <w:r>
        <w:rPr>
          <w:rFonts w:ascii="宋体" w:hAnsi="宋体" w:eastAsia="宋体"/>
          <w:color w:val="000000" w:themeColor="text1"/>
          <w:sz w:val="24"/>
          <w:szCs w:val="24"/>
          <w14:textFill>
            <w14:solidFill>
              <w14:schemeClr w14:val="tx1"/>
            </w14:solidFill>
          </w14:textFill>
        </w:rPr>
        <w:t>20</w:t>
      </w:r>
      <w:r>
        <w:rPr>
          <w:rFonts w:hint="eastAsia" w:ascii="宋体" w:hAnsi="宋体" w:eastAsia="宋体"/>
          <w:color w:val="000000" w:themeColor="text1"/>
          <w:sz w:val="24"/>
          <w:szCs w:val="24"/>
          <w14:textFill>
            <w14:solidFill>
              <w14:schemeClr w14:val="tx1"/>
            </w14:solidFill>
          </w14:textFill>
        </w:rPr>
        <w:t>的规定，外壳防火等级至少为UL</w:t>
      </w:r>
      <w:r>
        <w:rPr>
          <w:rFonts w:ascii="宋体" w:hAnsi="宋体" w:eastAsia="宋体"/>
          <w:color w:val="000000" w:themeColor="text1"/>
          <w:sz w:val="24"/>
          <w:szCs w:val="24"/>
          <w14:textFill>
            <w14:solidFill>
              <w14:schemeClr w14:val="tx1"/>
            </w14:solidFill>
          </w14:textFill>
        </w:rPr>
        <w:t>94</w:t>
      </w:r>
      <w:r>
        <w:rPr>
          <w:rFonts w:hint="eastAsia" w:ascii="宋体" w:hAnsi="宋体" w:eastAsia="宋体"/>
          <w:color w:val="000000" w:themeColor="text1"/>
          <w:sz w:val="24"/>
          <w:szCs w:val="24"/>
          <w14:textFill>
            <w14:solidFill>
              <w14:schemeClr w14:val="tx1"/>
            </w14:solidFill>
          </w14:textFill>
        </w:rPr>
        <w:t>-V</w:t>
      </w:r>
      <w:r>
        <w:rPr>
          <w:rFonts w:ascii="宋体" w:hAnsi="宋体" w:eastAsia="宋体"/>
          <w:color w:val="000000" w:themeColor="text1"/>
          <w:sz w:val="24"/>
          <w:szCs w:val="24"/>
          <w14:textFill>
            <w14:solidFill>
              <w14:schemeClr w14:val="tx1"/>
            </w14:solidFill>
          </w14:textFill>
        </w:rPr>
        <w:t>1</w:t>
      </w:r>
      <w:r>
        <w:rPr>
          <w:rFonts w:hint="eastAsia" w:ascii="宋体" w:hAnsi="宋体" w:eastAsia="宋体"/>
          <w:color w:val="000000" w:themeColor="text1"/>
          <w:sz w:val="24"/>
          <w:szCs w:val="24"/>
          <w14:textFill>
            <w14:solidFill>
              <w14:schemeClr w14:val="tx1"/>
            </w14:solidFill>
          </w14:textFill>
        </w:rPr>
        <w:t>。（提供有效的由国家食品药品监督管理局所授权的医疗器械检验机构所出具的检测报告）</w:t>
      </w:r>
    </w:p>
    <w:p>
      <w:pPr>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4</w:t>
      </w:r>
      <w:r>
        <w:rPr>
          <w:rFonts w:hint="eastAsia" w:ascii="宋体" w:hAnsi="宋体" w:eastAsia="宋体"/>
          <w:color w:val="000000" w:themeColor="text1"/>
          <w:sz w:val="24"/>
          <w:szCs w:val="24"/>
          <w14:textFill>
            <w14:solidFill>
              <w14:schemeClr w14:val="tx1"/>
            </w14:solidFill>
          </w14:textFill>
        </w:rPr>
        <w:t>、配置GSS导轨电源，可以灵活调整电源数量（提供有效的由国家食品药品监督管理局所授权的医疗器械检验机构所出具的检测报告及实物图片证明）</w:t>
      </w:r>
    </w:p>
    <w:p>
      <w:pPr>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配置要求：</w:t>
      </w:r>
    </w:p>
    <w:p>
      <w:pPr>
        <w:pStyle w:val="11"/>
        <w:numPr>
          <w:ilvl w:val="0"/>
          <w:numId w:val="1"/>
        </w:numPr>
        <w:ind w:firstLineChars="0"/>
        <w:rPr>
          <w:rFonts w:ascii="宋体" w:hAnsi="宋体"/>
          <w:szCs w:val="21"/>
        </w:rPr>
      </w:pPr>
      <w:r>
        <w:rPr>
          <w:rFonts w:hint="eastAsia" w:ascii="宋体" w:hAnsi="宋体"/>
          <w:szCs w:val="21"/>
        </w:rPr>
        <w:t>配备干区</w:t>
      </w:r>
    </w:p>
    <w:p>
      <w:pPr>
        <w:pStyle w:val="11"/>
        <w:numPr>
          <w:ilvl w:val="1"/>
          <w:numId w:val="1"/>
        </w:numPr>
        <w:ind w:firstLineChars="0"/>
        <w:rPr>
          <w:rFonts w:ascii="宋体" w:hAnsi="宋体"/>
          <w:szCs w:val="21"/>
        </w:rPr>
      </w:pPr>
      <w:r>
        <w:rPr>
          <w:rFonts w:hint="eastAsia" w:ascii="宋体" w:hAnsi="宋体"/>
          <w:szCs w:val="21"/>
        </w:rPr>
        <w:t>干区吊箱</w:t>
      </w:r>
      <w:r>
        <w:rPr>
          <w:rFonts w:ascii="宋体" w:hAnsi="宋体"/>
          <w:szCs w:val="21"/>
        </w:rPr>
        <w:t>式</w:t>
      </w:r>
      <w:r>
        <w:rPr>
          <w:rFonts w:hint="eastAsia" w:ascii="宋体" w:hAnsi="宋体"/>
          <w:szCs w:val="21"/>
        </w:rPr>
        <w:t>气电箱</w:t>
      </w:r>
    </w:p>
    <w:p>
      <w:pPr>
        <w:pStyle w:val="11"/>
        <w:numPr>
          <w:ilvl w:val="1"/>
          <w:numId w:val="1"/>
        </w:numPr>
        <w:ind w:firstLineChars="0"/>
        <w:rPr>
          <w:rFonts w:ascii="宋体" w:hAnsi="宋体"/>
          <w:szCs w:val="21"/>
        </w:rPr>
      </w:pPr>
      <w:r>
        <w:rPr>
          <w:rFonts w:hint="eastAsia" w:ascii="宋体" w:hAnsi="宋体"/>
          <w:szCs w:val="21"/>
        </w:rPr>
        <w:t>干区气电箱承重≥1</w:t>
      </w:r>
      <w:r>
        <w:rPr>
          <w:rFonts w:ascii="宋体" w:hAnsi="宋体"/>
          <w:szCs w:val="21"/>
        </w:rPr>
        <w:t>2</w:t>
      </w:r>
      <w:r>
        <w:rPr>
          <w:rFonts w:hint="eastAsia" w:ascii="宋体" w:hAnsi="宋体"/>
          <w:szCs w:val="21"/>
        </w:rPr>
        <w:t>0Kg</w:t>
      </w:r>
    </w:p>
    <w:p>
      <w:pPr>
        <w:pStyle w:val="11"/>
        <w:numPr>
          <w:ilvl w:val="1"/>
          <w:numId w:val="1"/>
        </w:numPr>
        <w:ind w:firstLineChars="0"/>
        <w:rPr>
          <w:rFonts w:ascii="宋体" w:hAnsi="宋体"/>
          <w:szCs w:val="21"/>
        </w:rPr>
      </w:pPr>
      <w:r>
        <w:rPr>
          <w:rFonts w:hint="eastAsia" w:ascii="宋体" w:hAnsi="宋体"/>
          <w:szCs w:val="21"/>
        </w:rPr>
        <w:t xml:space="preserve">每套气电箱附件要求 </w:t>
      </w:r>
    </w:p>
    <w:p>
      <w:pPr>
        <w:pStyle w:val="11"/>
        <w:numPr>
          <w:ilvl w:val="2"/>
          <w:numId w:val="1"/>
        </w:numPr>
        <w:ind w:firstLineChars="0"/>
        <w:rPr>
          <w:rFonts w:ascii="宋体" w:hAnsi="宋体"/>
          <w:szCs w:val="21"/>
        </w:rPr>
      </w:pPr>
      <w:r>
        <w:rPr>
          <w:rFonts w:hint="eastAsia" w:ascii="宋体" w:hAnsi="宋体"/>
          <w:szCs w:val="21"/>
        </w:rPr>
        <w:t>德式标准气体插座（空气≥</w:t>
      </w:r>
      <w:r>
        <w:rPr>
          <w:rFonts w:ascii="宋体" w:hAnsi="宋体"/>
          <w:szCs w:val="21"/>
        </w:rPr>
        <w:t>2</w:t>
      </w:r>
      <w:r>
        <w:rPr>
          <w:rFonts w:hint="eastAsia" w:ascii="宋体" w:hAnsi="宋体"/>
          <w:szCs w:val="21"/>
        </w:rPr>
        <w:t>个，负压吸引≥</w:t>
      </w:r>
      <w:r>
        <w:rPr>
          <w:rFonts w:ascii="宋体" w:hAnsi="宋体"/>
          <w:szCs w:val="21"/>
        </w:rPr>
        <w:t>2</w:t>
      </w:r>
      <w:r>
        <w:rPr>
          <w:rFonts w:hint="eastAsia" w:ascii="宋体" w:hAnsi="宋体"/>
          <w:szCs w:val="21"/>
        </w:rPr>
        <w:t>个，氧气≥2个）含所有插头</w:t>
      </w:r>
    </w:p>
    <w:p>
      <w:pPr>
        <w:pStyle w:val="11"/>
        <w:numPr>
          <w:ilvl w:val="2"/>
          <w:numId w:val="1"/>
        </w:numPr>
        <w:ind w:firstLineChars="0"/>
        <w:rPr>
          <w:rFonts w:ascii="宋体" w:hAnsi="宋体"/>
          <w:szCs w:val="21"/>
        </w:rPr>
      </w:pPr>
      <w:r>
        <w:rPr>
          <w:rFonts w:hint="eastAsia" w:ascii="宋体" w:hAnsi="宋体"/>
          <w:szCs w:val="21"/>
        </w:rPr>
        <w:t xml:space="preserve">电源插座≥8个 </w:t>
      </w:r>
    </w:p>
    <w:p>
      <w:pPr>
        <w:pStyle w:val="11"/>
        <w:numPr>
          <w:ilvl w:val="2"/>
          <w:numId w:val="1"/>
        </w:numPr>
        <w:ind w:firstLineChars="0"/>
        <w:rPr>
          <w:rFonts w:ascii="宋体" w:hAnsi="宋体"/>
          <w:szCs w:val="21"/>
        </w:rPr>
      </w:pPr>
      <w:r>
        <w:rPr>
          <w:rFonts w:hint="eastAsia" w:ascii="宋体" w:hAnsi="宋体"/>
          <w:szCs w:val="21"/>
        </w:rPr>
        <w:t>网络接口（六类</w:t>
      </w:r>
      <w:r>
        <w:rPr>
          <w:rFonts w:ascii="宋体" w:hAnsi="宋体"/>
          <w:szCs w:val="21"/>
        </w:rPr>
        <w:t>屏蔽</w:t>
      </w:r>
      <w:r>
        <w:rPr>
          <w:rFonts w:hint="eastAsia" w:ascii="宋体" w:hAnsi="宋体"/>
          <w:szCs w:val="21"/>
        </w:rPr>
        <w:t>）≥</w:t>
      </w:r>
      <w:r>
        <w:rPr>
          <w:rFonts w:ascii="宋体" w:hAnsi="宋体"/>
          <w:szCs w:val="21"/>
        </w:rPr>
        <w:t>2</w:t>
      </w:r>
      <w:r>
        <w:rPr>
          <w:rFonts w:hint="eastAsia" w:ascii="宋体" w:hAnsi="宋体"/>
          <w:szCs w:val="21"/>
        </w:rPr>
        <w:t>个</w:t>
      </w:r>
    </w:p>
    <w:p>
      <w:pPr>
        <w:pStyle w:val="11"/>
        <w:numPr>
          <w:ilvl w:val="2"/>
          <w:numId w:val="1"/>
        </w:numPr>
        <w:ind w:firstLineChars="0"/>
        <w:rPr>
          <w:rFonts w:ascii="宋体" w:hAnsi="宋体"/>
          <w:szCs w:val="21"/>
        </w:rPr>
      </w:pPr>
      <w:r>
        <w:rPr>
          <w:rFonts w:hint="eastAsia" w:ascii="宋体" w:hAnsi="宋体"/>
          <w:szCs w:val="21"/>
        </w:rPr>
        <w:t xml:space="preserve">等电位住≥2个 </w:t>
      </w:r>
    </w:p>
    <w:p>
      <w:pPr>
        <w:pStyle w:val="11"/>
        <w:numPr>
          <w:ilvl w:val="2"/>
          <w:numId w:val="1"/>
        </w:numPr>
        <w:ind w:firstLineChars="0"/>
        <w:rPr>
          <w:rFonts w:ascii="宋体" w:hAnsi="宋体"/>
          <w:szCs w:val="21"/>
        </w:rPr>
      </w:pPr>
      <w:r>
        <w:rPr>
          <w:rFonts w:hint="eastAsia" w:ascii="宋体" w:hAnsi="宋体"/>
          <w:szCs w:val="21"/>
        </w:rPr>
        <w:t>配备</w:t>
      </w:r>
      <w:r>
        <w:rPr>
          <w:rFonts w:ascii="宋体" w:hAnsi="宋体"/>
          <w:szCs w:val="21"/>
        </w:rPr>
        <w:t>集线器，保证缆线的有序管理。</w:t>
      </w:r>
    </w:p>
    <w:p>
      <w:pPr>
        <w:pStyle w:val="11"/>
        <w:numPr>
          <w:ilvl w:val="0"/>
          <w:numId w:val="1"/>
        </w:numPr>
        <w:ind w:firstLineChars="0"/>
        <w:rPr>
          <w:rFonts w:ascii="宋体" w:hAnsi="宋体"/>
          <w:szCs w:val="21"/>
        </w:rPr>
      </w:pPr>
      <w:r>
        <w:rPr>
          <w:rFonts w:hint="eastAsia" w:ascii="宋体" w:hAnsi="宋体"/>
          <w:szCs w:val="21"/>
        </w:rPr>
        <w:t>配备湿区滑车</w:t>
      </w:r>
    </w:p>
    <w:p>
      <w:pPr>
        <w:pStyle w:val="11"/>
        <w:numPr>
          <w:ilvl w:val="1"/>
          <w:numId w:val="1"/>
        </w:numPr>
        <w:ind w:firstLineChars="0"/>
        <w:rPr>
          <w:rFonts w:ascii="宋体" w:hAnsi="宋体"/>
          <w:szCs w:val="21"/>
        </w:rPr>
      </w:pPr>
      <w:r>
        <w:rPr>
          <w:rFonts w:hint="eastAsia" w:ascii="宋体" w:hAnsi="宋体"/>
          <w:szCs w:val="21"/>
        </w:rPr>
        <w:t>湿区吊柱式气电箱长度≥</w:t>
      </w:r>
      <w:r>
        <w:rPr>
          <w:rFonts w:ascii="宋体" w:hAnsi="宋体"/>
          <w:szCs w:val="21"/>
        </w:rPr>
        <w:t>10</w:t>
      </w:r>
      <w:r>
        <w:rPr>
          <w:rFonts w:hint="eastAsia" w:ascii="宋体" w:hAnsi="宋体"/>
          <w:szCs w:val="21"/>
        </w:rPr>
        <w:t>00MM</w:t>
      </w:r>
    </w:p>
    <w:p>
      <w:pPr>
        <w:pStyle w:val="11"/>
        <w:numPr>
          <w:ilvl w:val="1"/>
          <w:numId w:val="1"/>
        </w:numPr>
        <w:ind w:firstLineChars="0"/>
        <w:rPr>
          <w:rFonts w:ascii="宋体" w:hAnsi="宋体"/>
          <w:szCs w:val="21"/>
        </w:rPr>
      </w:pPr>
      <w:r>
        <w:rPr>
          <w:rFonts w:hint="eastAsia" w:ascii="宋体" w:hAnsi="宋体"/>
          <w:szCs w:val="21"/>
        </w:rPr>
        <w:t>湿区气电箱承重≥1</w:t>
      </w:r>
      <w:r>
        <w:rPr>
          <w:rFonts w:ascii="宋体" w:hAnsi="宋体"/>
          <w:szCs w:val="21"/>
        </w:rPr>
        <w:t>2</w:t>
      </w:r>
      <w:r>
        <w:rPr>
          <w:rFonts w:hint="eastAsia" w:ascii="宋体" w:hAnsi="宋体"/>
          <w:szCs w:val="21"/>
        </w:rPr>
        <w:t>0Kg</w:t>
      </w:r>
    </w:p>
    <w:p>
      <w:pPr>
        <w:pStyle w:val="11"/>
        <w:numPr>
          <w:ilvl w:val="1"/>
          <w:numId w:val="1"/>
        </w:numPr>
        <w:ind w:firstLineChars="0"/>
        <w:rPr>
          <w:rFonts w:ascii="宋体" w:hAnsi="宋体"/>
          <w:szCs w:val="21"/>
        </w:rPr>
      </w:pPr>
      <w:r>
        <w:rPr>
          <w:rFonts w:hint="eastAsia" w:ascii="宋体" w:hAnsi="宋体"/>
          <w:szCs w:val="21"/>
        </w:rPr>
        <w:t>每套气电箱附件要求</w:t>
      </w:r>
    </w:p>
    <w:p>
      <w:pPr>
        <w:pStyle w:val="11"/>
        <w:numPr>
          <w:ilvl w:val="2"/>
          <w:numId w:val="1"/>
        </w:numPr>
        <w:ind w:firstLineChars="0"/>
        <w:rPr>
          <w:rFonts w:ascii="宋体" w:hAnsi="宋体"/>
          <w:szCs w:val="21"/>
        </w:rPr>
      </w:pPr>
      <w:r>
        <w:rPr>
          <w:rFonts w:hint="eastAsia" w:ascii="宋体" w:hAnsi="宋体"/>
          <w:szCs w:val="21"/>
        </w:rPr>
        <w:t>德式标准气体插座（空气≥</w:t>
      </w:r>
      <w:r>
        <w:rPr>
          <w:rFonts w:ascii="宋体" w:hAnsi="宋体"/>
          <w:szCs w:val="21"/>
        </w:rPr>
        <w:t>2</w:t>
      </w:r>
      <w:r>
        <w:rPr>
          <w:rFonts w:hint="eastAsia" w:ascii="宋体" w:hAnsi="宋体"/>
          <w:szCs w:val="21"/>
        </w:rPr>
        <w:t>个，负压吸引≥2个，氧气≥</w:t>
      </w:r>
      <w:r>
        <w:rPr>
          <w:rFonts w:ascii="宋体" w:hAnsi="宋体"/>
          <w:szCs w:val="21"/>
        </w:rPr>
        <w:t>2</w:t>
      </w:r>
      <w:r>
        <w:rPr>
          <w:rFonts w:hint="eastAsia" w:ascii="宋体" w:hAnsi="宋体"/>
          <w:szCs w:val="21"/>
        </w:rPr>
        <w:t>个）含所有插头</w:t>
      </w:r>
    </w:p>
    <w:p>
      <w:pPr>
        <w:pStyle w:val="11"/>
        <w:numPr>
          <w:ilvl w:val="2"/>
          <w:numId w:val="1"/>
        </w:numPr>
        <w:ind w:firstLineChars="0"/>
        <w:rPr>
          <w:rFonts w:ascii="宋体" w:hAnsi="宋体"/>
          <w:szCs w:val="21"/>
        </w:rPr>
      </w:pPr>
      <w:r>
        <w:rPr>
          <w:rFonts w:hint="eastAsia" w:ascii="宋体" w:hAnsi="宋体"/>
          <w:szCs w:val="21"/>
        </w:rPr>
        <w:t xml:space="preserve">电源插座≥8个 </w:t>
      </w:r>
    </w:p>
    <w:p>
      <w:pPr>
        <w:pStyle w:val="11"/>
        <w:numPr>
          <w:ilvl w:val="2"/>
          <w:numId w:val="1"/>
        </w:numPr>
        <w:ind w:firstLineChars="0"/>
        <w:rPr>
          <w:rFonts w:ascii="宋体" w:hAnsi="宋体"/>
          <w:szCs w:val="21"/>
        </w:rPr>
      </w:pPr>
      <w:r>
        <w:rPr>
          <w:rFonts w:hint="eastAsia" w:ascii="宋体" w:hAnsi="宋体"/>
          <w:szCs w:val="21"/>
        </w:rPr>
        <w:t>网络接口（六类</w:t>
      </w:r>
      <w:r>
        <w:rPr>
          <w:rFonts w:ascii="宋体" w:hAnsi="宋体"/>
          <w:szCs w:val="21"/>
        </w:rPr>
        <w:t>屏蔽</w:t>
      </w:r>
      <w:r>
        <w:rPr>
          <w:rFonts w:hint="eastAsia" w:ascii="宋体" w:hAnsi="宋体"/>
          <w:szCs w:val="21"/>
        </w:rPr>
        <w:t>）≥</w:t>
      </w:r>
      <w:r>
        <w:rPr>
          <w:rFonts w:ascii="宋体" w:hAnsi="宋体"/>
          <w:szCs w:val="21"/>
        </w:rPr>
        <w:t>2</w:t>
      </w:r>
      <w:r>
        <w:rPr>
          <w:rFonts w:hint="eastAsia" w:ascii="宋体" w:hAnsi="宋体"/>
          <w:szCs w:val="21"/>
        </w:rPr>
        <w:t>个</w:t>
      </w:r>
    </w:p>
    <w:p>
      <w:pPr>
        <w:pStyle w:val="11"/>
        <w:numPr>
          <w:ilvl w:val="2"/>
          <w:numId w:val="1"/>
        </w:numPr>
        <w:ind w:firstLineChars="0"/>
        <w:rPr>
          <w:rFonts w:ascii="宋体" w:hAnsi="宋体"/>
          <w:szCs w:val="21"/>
        </w:rPr>
      </w:pPr>
      <w:r>
        <w:rPr>
          <w:rFonts w:hint="eastAsia" w:ascii="宋体" w:hAnsi="宋体"/>
          <w:szCs w:val="21"/>
        </w:rPr>
        <w:t xml:space="preserve">等电位住≥2个 </w:t>
      </w:r>
    </w:p>
    <w:p>
      <w:pPr>
        <w:pStyle w:val="11"/>
        <w:numPr>
          <w:ilvl w:val="2"/>
          <w:numId w:val="1"/>
        </w:numPr>
        <w:ind w:firstLineChars="0"/>
        <w:rPr>
          <w:rFonts w:ascii="宋体" w:hAnsi="宋体"/>
          <w:szCs w:val="21"/>
        </w:rPr>
      </w:pPr>
      <w:r>
        <w:rPr>
          <w:rFonts w:hint="eastAsia" w:ascii="宋体" w:hAnsi="宋体"/>
          <w:szCs w:val="21"/>
        </w:rPr>
        <w:t>双关节旋转输液支臂和高度可调输液支架≥1套。</w:t>
      </w:r>
    </w:p>
    <w:p>
      <w:pPr>
        <w:pStyle w:val="11"/>
        <w:numPr>
          <w:ilvl w:val="2"/>
          <w:numId w:val="1"/>
        </w:numPr>
        <w:ind w:firstLineChars="0"/>
        <w:rPr>
          <w:rFonts w:ascii="宋体" w:hAnsi="宋体"/>
          <w:szCs w:val="21"/>
        </w:rPr>
      </w:pPr>
      <w:r>
        <w:rPr>
          <w:rFonts w:hint="eastAsia" w:ascii="宋体" w:hAnsi="宋体"/>
          <w:szCs w:val="21"/>
        </w:rPr>
        <w:t>仪器承载托盘≥</w:t>
      </w:r>
      <w:r>
        <w:rPr>
          <w:rFonts w:ascii="宋体" w:hAnsi="宋体"/>
          <w:szCs w:val="21"/>
        </w:rPr>
        <w:t>2</w:t>
      </w:r>
      <w:r>
        <w:rPr>
          <w:rFonts w:hint="eastAsia" w:ascii="宋体" w:hAnsi="宋体"/>
          <w:szCs w:val="21"/>
        </w:rPr>
        <w:t>个，其中一个带抽屉，托盘尺寸≥</w:t>
      </w:r>
      <w:r>
        <w:rPr>
          <w:rFonts w:ascii="宋体" w:hAnsi="宋体"/>
          <w:szCs w:val="21"/>
        </w:rPr>
        <w:t>5</w:t>
      </w:r>
      <w:r>
        <w:rPr>
          <w:rFonts w:hint="eastAsia" w:ascii="宋体" w:hAnsi="宋体"/>
          <w:szCs w:val="21"/>
        </w:rPr>
        <w:t>30×</w:t>
      </w:r>
      <w:r>
        <w:rPr>
          <w:rFonts w:ascii="宋体" w:hAnsi="宋体"/>
          <w:szCs w:val="21"/>
        </w:rPr>
        <w:t>48</w:t>
      </w:r>
      <w:r>
        <w:rPr>
          <w:rFonts w:hint="eastAsia" w:ascii="宋体" w:hAnsi="宋体"/>
          <w:szCs w:val="21"/>
        </w:rPr>
        <w:t>0mm。</w:t>
      </w:r>
    </w:p>
    <w:p>
      <w:pPr>
        <w:rPr>
          <w:rFonts w:hint="eastAsia" w:ascii="宋体" w:hAnsi="宋体" w:eastAsia="宋体"/>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8C2"/>
    <w:rsid w:val="001328C2"/>
    <w:rsid w:val="00243C4C"/>
    <w:rsid w:val="007B0062"/>
    <w:rsid w:val="00C551C1"/>
    <w:rsid w:val="00E200EF"/>
    <w:rsid w:val="00FA73C7"/>
    <w:rsid w:val="7DF40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uiPriority w:val="99"/>
    <w:rPr>
      <w:sz w:val="21"/>
      <w:szCs w:val="21"/>
    </w:rPr>
  </w:style>
  <w:style w:type="character" w:customStyle="1" w:styleId="9">
    <w:name w:val="页眉 字符"/>
    <w:basedOn w:val="7"/>
    <w:link w:val="5"/>
    <w:qFormat/>
    <w:uiPriority w:val="99"/>
    <w:rPr>
      <w:sz w:val="18"/>
      <w:szCs w:val="18"/>
    </w:rPr>
  </w:style>
  <w:style w:type="character" w:customStyle="1" w:styleId="10">
    <w:name w:val="页脚 字符"/>
    <w:basedOn w:val="7"/>
    <w:link w:val="4"/>
    <w:uiPriority w:val="99"/>
    <w:rPr>
      <w:sz w:val="18"/>
      <w:szCs w:val="18"/>
    </w:rPr>
  </w:style>
  <w:style w:type="paragraph" w:styleId="11">
    <w:name w:val="List Paragraph"/>
    <w:basedOn w:val="1"/>
    <w:link w:val="12"/>
    <w:qFormat/>
    <w:uiPriority w:val="99"/>
    <w:pPr>
      <w:ind w:firstLine="420" w:firstLineChars="200"/>
    </w:pPr>
    <w:rPr>
      <w:rFonts w:ascii="Calibri" w:hAnsi="Calibri" w:eastAsia="宋体" w:cs="Times New Roman"/>
    </w:rPr>
  </w:style>
  <w:style w:type="character" w:customStyle="1" w:styleId="12">
    <w:name w:val="列表段落 字符"/>
    <w:link w:val="11"/>
    <w:qFormat/>
    <w:uiPriority w:val="99"/>
    <w:rPr>
      <w:rFonts w:ascii="Calibri" w:hAnsi="Calibri" w:eastAsia="宋体" w:cs="Times New Roman"/>
    </w:rPr>
  </w:style>
  <w:style w:type="paragraph" w:customStyle="1" w:styleId="13">
    <w:name w:val="列出段落1"/>
    <w:basedOn w:val="1"/>
    <w:qFormat/>
    <w:uiPriority w:val="99"/>
    <w:pPr>
      <w:ind w:firstLine="420" w:firstLineChars="200"/>
    </w:pPr>
    <w:rPr>
      <w:rFonts w:ascii="Calibri" w:hAnsi="Calibri" w:eastAsia="宋体" w:cs="Times New Roman"/>
    </w:rPr>
  </w:style>
  <w:style w:type="character" w:customStyle="1" w:styleId="14">
    <w:name w:val="批注文字 字符"/>
    <w:basedOn w:val="7"/>
    <w:link w:val="2"/>
    <w:semiHidden/>
    <w:uiPriority w:val="99"/>
  </w:style>
  <w:style w:type="character" w:customStyle="1" w:styleId="15">
    <w:name w:val="批注框文本 字符"/>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187</Words>
  <Characters>1072</Characters>
  <Lines>8</Lines>
  <Paragraphs>2</Paragraphs>
  <TotalTime>14</TotalTime>
  <ScaleCrop>false</ScaleCrop>
  <LinksUpToDate>false</LinksUpToDate>
  <CharactersWithSpaces>1257</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2021-03-30T08:20:00Z</dcterms:created>
  <dc:creator>曾峥铮 Ceng Zhengzheng</dc:creator>
  <cp:lastModifiedBy>Administrator</cp:lastModifiedBy>
  <dcterms:modified xsi:type="dcterms:W3CDTF">2022-01-04T03:26:59Z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59A6C9B1B3824F1B8CA2965B44B7C8C7</vt:lpwstr>
  </property>
</Properties>
</file>