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22"/>
        </w:rPr>
      </w:pPr>
      <w:r>
        <w:rPr>
          <w:rFonts w:hint="eastAsia"/>
          <w:b/>
          <w:color w:val="auto"/>
          <w:sz w:val="22"/>
        </w:rPr>
        <w:t>复合手术室术中影像计划系统技术参数</w:t>
      </w:r>
    </w:p>
    <w:p>
      <w:pPr>
        <w:jc w:val="center"/>
      </w:pPr>
      <w:r>
        <w:rPr>
          <w:rFonts w:hint="eastAsia" w:ascii="宋体" w:hAnsi="宋体"/>
          <w:color w:val="auto"/>
          <w:sz w:val="21"/>
        </w:rPr>
        <w:t>*为废标条款，▲为核心扣分项</w:t>
      </w:r>
      <w:bookmarkStart w:id="0" w:name="_GoBack"/>
      <w:bookmarkEnd w:id="0"/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1、术中影像计划平台</w:t>
      </w:r>
      <w:r>
        <w:rPr>
          <w:rFonts w:ascii="宋体" w:hAnsi="宋体"/>
          <w:color w:val="auto"/>
          <w:sz w:val="21"/>
        </w:rPr>
        <w:t xml:space="preserve">    </w:t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1.1主机配有 Intel Xeon E5-1650v3或同等性能（不低于3.6千兆赫兹，6 核，12 MB 缓存）的服务器级高性能工作站，主内存≥12 GB，存储容量≥256 GB，≥6个视频输入端口，≥6个视频输出端口，并能够同时预览连接的所有视频及影像信号；操作系统为正版Windows 10（64 位）；支持≥3个触摸屏交互控制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*1.2系统需具备强大的兼容性，能够与医院现有术中核磁设备及手术导航计划平台数据格式兼容，实现与手术导航的交互控制。能够整合术前规划的导航手术计划，进行数据3D重建显示（包含肿瘤、血管、神经纤维束等结构），并在多平面（轴状、冠状、矢状和倾斜面）中进行 3D切割重建，用于临床医生术前浏览。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▲1</w:t>
      </w:r>
      <w:r>
        <w:rPr>
          <w:rFonts w:ascii="宋体" w:hAnsi="宋体"/>
          <w:color w:val="auto"/>
          <w:sz w:val="21"/>
        </w:rPr>
        <w:t xml:space="preserve">.3 </w:t>
      </w:r>
      <w:r>
        <w:rPr>
          <w:rFonts w:hint="eastAsia" w:ascii="宋体" w:hAnsi="宋体"/>
          <w:color w:val="auto"/>
          <w:sz w:val="21"/>
        </w:rPr>
        <w:t>系统需具备强大的可扩展性，未来能进行技术升级，例如AR增强现实等（需提供产品技术资料证明）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2、应用程序系统软件</w:t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2.1通过触摸交互以及鼠标与键盘支持来实现完全控制；连接医院PACS系统，通过患者名字、ID等信息以Q</w:t>
      </w:r>
      <w:r>
        <w:rPr>
          <w:rFonts w:ascii="宋体" w:hAnsi="宋体"/>
          <w:color w:val="auto"/>
          <w:sz w:val="21"/>
        </w:rPr>
        <w:t>/R</w:t>
      </w:r>
      <w:r>
        <w:rPr>
          <w:rFonts w:hint="eastAsia" w:ascii="宋体" w:hAnsi="宋体"/>
          <w:color w:val="auto"/>
          <w:sz w:val="21"/>
        </w:rPr>
        <w:t>形式搜索调取患者影像信息。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ascii="宋体" w:hAnsi="宋体"/>
          <w:color w:val="auto"/>
          <w:sz w:val="21"/>
        </w:rPr>
        <w:t>2.2</w:t>
      </w:r>
      <w:r>
        <w:rPr>
          <w:rFonts w:hint="eastAsia" w:ascii="宋体" w:hAnsi="宋体"/>
          <w:color w:val="auto"/>
          <w:sz w:val="21"/>
        </w:rPr>
        <w:t>整合手术室内设备数据（例如内窥镜、腔镜、显微镜、关节镜、术野摄像机、全景摄像机、手术机器人、术中影像（CT、DSA、MRI、C臂等）、导航、超声、显微镜、无线麦克风、音响话筒、远程场景音视频等），并可进行任意切换显示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 xml:space="preserve">3、影像浏览/3D重建软件 </w:t>
      </w:r>
      <w:r>
        <w:rPr>
          <w:rFonts w:ascii="宋体" w:hAnsi="宋体"/>
          <w:color w:val="auto"/>
          <w:sz w:val="21"/>
        </w:rPr>
        <w:t xml:space="preserve">   </w:t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▲3.1提供基于触控操作设计的医学影像浏览及多模态CT/MR/PET影像融合后的3D重建功能。通过双手指触控屏幕操作，便可以实现3D影像的放大/缩小、平移/翻转，以及3D影像任一角度切割。可使用皮肤、骨骼、血管、DRR 和 MIP 的显示预设，对 CT、MR、PET、SPECT 数据集进行一键式3D 体积重建。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▲</w:t>
      </w:r>
      <w:r>
        <w:rPr>
          <w:rFonts w:ascii="宋体" w:hAnsi="宋体"/>
          <w:color w:val="auto"/>
          <w:sz w:val="21"/>
        </w:rPr>
        <w:t xml:space="preserve">3.2 </w:t>
      </w:r>
      <w:r>
        <w:rPr>
          <w:rFonts w:hint="eastAsia" w:ascii="宋体" w:hAnsi="宋体"/>
          <w:color w:val="auto"/>
          <w:sz w:val="21"/>
        </w:rPr>
        <w:t>提供该软件医疗器械注册证，须与术中影像计划平台为同一品牌以保障兼容性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 xml:space="preserve">4、影像录制存储 </w:t>
      </w:r>
      <w:r>
        <w:rPr>
          <w:rFonts w:ascii="宋体" w:hAnsi="宋体"/>
          <w:color w:val="auto"/>
          <w:sz w:val="21"/>
        </w:rPr>
        <w:t xml:space="preserve">   </w:t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4.1</w:t>
      </w:r>
      <w:r>
        <w:rPr>
          <w:rFonts w:ascii="宋体" w:hAnsi="宋体"/>
          <w:color w:val="auto"/>
          <w:sz w:val="21"/>
        </w:rPr>
        <w:t xml:space="preserve"> </w:t>
      </w:r>
      <w:r>
        <w:rPr>
          <w:rFonts w:hint="eastAsia" w:ascii="宋体" w:hAnsi="宋体"/>
          <w:color w:val="auto"/>
          <w:sz w:val="21"/>
        </w:rPr>
        <w:t>对于2K影像，以全高清影像分辨率持续录制任意显示屏幕的信息（例如：导航软件，显微镜及腔镜视频）并存储至网络或本地，支持画中画、二分屏、四分屏方式录制；直观的一键截图功能，以原屏幕分辨率捕捉任何显示内容，并存储到本地或网络记录和截图功能无缝整合在用户界面中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ascii="宋体" w:hAnsi="宋体"/>
          <w:color w:val="auto"/>
          <w:sz w:val="21"/>
        </w:rPr>
        <w:t>4.2</w:t>
      </w:r>
      <w:r>
        <w:rPr>
          <w:rFonts w:hint="eastAsia" w:ascii="宋体" w:hAnsi="宋体"/>
          <w:color w:val="auto"/>
          <w:sz w:val="21"/>
        </w:rPr>
        <w:t>对于4K影像，提供一套独立录制系统，支持4K的清晰度影像持续录制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 xml:space="preserve">5、会议通讯与流媒体 </w:t>
      </w:r>
      <w:r>
        <w:rPr>
          <w:rFonts w:ascii="宋体" w:hAnsi="宋体"/>
          <w:color w:val="auto"/>
          <w:sz w:val="21"/>
        </w:rPr>
        <w:t xml:space="preserve">   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▲5.1应用流媒体技术，无需额外铺设光纤，基于院内网络实现手术室与医生办公室和会议室、示教室的术野数据和影像数据全高清影像质量的同步。占医院带宽≤15M，同时在线用户≥5个，便于上级医生在制定术中手术计划时进行实时音视频指导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ascii="宋体" w:hAnsi="宋体"/>
          <w:color w:val="auto"/>
          <w:sz w:val="21"/>
        </w:rPr>
        <w:t xml:space="preserve">5.1.1 </w:t>
      </w:r>
      <w:r>
        <w:rPr>
          <w:rFonts w:hint="eastAsia" w:ascii="宋体" w:hAnsi="宋体"/>
          <w:color w:val="auto"/>
          <w:sz w:val="21"/>
        </w:rPr>
        <w:t>通过全高清实时流和音频/视频会议实现数字化质量的音频和视频通信，包括从医院网络内的任何位置通过浏览器进行访问的 Web 门户，用户通过授权的账户密码进行登录。手术室具有直播的暂时中断功能，并且具有实时预览功能，有效避免直播事故出现。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6、手术室视频路由：将任何视频源直观拖放传送至手术室的每个显示屏上,对于每个连接的信号，均会显示实时预览以便快速识别；对于接入的视频源，可以二分屏，四分屏，画中画的格式显示。</w:t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7、中央控制触屏：≥42</w:t>
      </w:r>
      <w:r>
        <w:rPr>
          <w:rFonts w:hint="eastAsia" w:ascii="宋体" w:hAnsi="宋体" w:cs="宋体"/>
          <w:color w:val="auto"/>
          <w:szCs w:val="20"/>
        </w:rPr>
        <w:t>英寸液晶全高清显示屏，支持多点触控</w:t>
      </w:r>
      <w:r>
        <w:rPr>
          <w:rFonts w:hint="eastAsia" w:ascii="宋体" w:hAnsi="宋体"/>
          <w:color w:val="auto"/>
          <w:sz w:val="21"/>
        </w:rPr>
        <w:t>，</w:t>
      </w:r>
      <w:r>
        <w:rPr>
          <w:rFonts w:hint="eastAsia" w:ascii="宋体" w:hAnsi="宋体" w:cs="宋体"/>
          <w:color w:val="auto"/>
          <w:szCs w:val="20"/>
        </w:rPr>
        <w:t>一屏中控，简体中文操控界面，操作简洁、方便；</w:t>
      </w:r>
      <w:r>
        <w:rPr>
          <w:rFonts w:hint="eastAsia" w:ascii="宋体" w:hAnsi="宋体"/>
          <w:color w:val="auto"/>
          <w:sz w:val="21"/>
        </w:rPr>
        <w:t>采用嵌墙式安装，触摸控制，符合手术室洁净要求。</w:t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8、高清全景摄像系统：具备实时3G-SDI, Dual-Stream LAN, HDMI输出, Composite输出, RS-232 输入/输出, RS-485接口；可用过手术室中央控制屏幕进行转动和缩放；手术室顶棚安装，含摄像头，摄像头固定架，施工费，视频及控制信号线缆，电源电路，控制开关</w:t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9、墙面显示屏：一块≥65 英寸液晶2K触摸屏，一块≥65寸4K显示屏；包含视频及控制信号线缆，电源电路，控制开关。</w:t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>10、吊臂显示屏：一块≥31寸，医用4K</w:t>
      </w:r>
      <w:r>
        <w:rPr>
          <w:rFonts w:ascii="宋体" w:hAnsi="宋体"/>
          <w:color w:val="auto"/>
          <w:sz w:val="21"/>
        </w:rPr>
        <w:t xml:space="preserve"> 3</w:t>
      </w:r>
      <w:r>
        <w:rPr>
          <w:rFonts w:hint="eastAsia" w:ascii="宋体" w:hAnsi="宋体"/>
          <w:color w:val="auto"/>
          <w:sz w:val="21"/>
        </w:rPr>
        <w:t>D显示器 ，一块≥31寸，医用</w:t>
      </w:r>
      <w:r>
        <w:rPr>
          <w:rFonts w:ascii="宋体" w:hAnsi="宋体"/>
          <w:color w:val="auto"/>
          <w:sz w:val="21"/>
        </w:rPr>
        <w:t>2</w:t>
      </w:r>
      <w:r>
        <w:rPr>
          <w:rFonts w:hint="eastAsia" w:ascii="宋体" w:hAnsi="宋体"/>
          <w:color w:val="auto"/>
          <w:sz w:val="21"/>
        </w:rPr>
        <w:t>K触摸显示器；包含视频及控制信号线缆，电源电路，控制开关，悬吊臂内穿线；监视器具备3G-SDI信号视频输入接口以及3G-SDI输出信号接口。</w:t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 xml:space="preserve">11、吸顶扬声器及功放，一拖二无线头戴式麦克风 </w:t>
      </w:r>
      <w:r>
        <w:rPr>
          <w:rFonts w:ascii="宋体" w:hAnsi="宋体"/>
          <w:color w:val="auto"/>
          <w:sz w:val="21"/>
        </w:rPr>
        <w:t xml:space="preserve">   </w:t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color w:val="auto"/>
          <w:sz w:val="21"/>
        </w:rPr>
      </w:pPr>
      <w:r>
        <w:rPr>
          <w:rFonts w:ascii="宋体" w:hAnsi="宋体"/>
          <w:color w:val="auto"/>
          <w:sz w:val="21"/>
        </w:rPr>
        <w:t>12</w:t>
      </w:r>
      <w:r>
        <w:rPr>
          <w:rFonts w:hint="eastAsia" w:ascii="宋体" w:hAnsi="宋体"/>
          <w:color w:val="auto"/>
          <w:sz w:val="21"/>
        </w:rPr>
        <w:t>、控制室触控分屏，便于</w:t>
      </w:r>
      <w:r>
        <w:rPr>
          <w:rFonts w:hint="eastAsia" w:ascii="宋体" w:hAnsi="宋体" w:cs="Times New Roman"/>
          <w:color w:val="000000"/>
          <w:sz w:val="22"/>
          <w:szCs w:val="21"/>
          <w:lang w:val="en-US"/>
        </w:rPr>
        <w:t>实时了解手术室情况</w:t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  <w:r>
        <w:rPr>
          <w:rFonts w:hint="eastAsia" w:ascii="宋体" w:hAnsi="宋体"/>
          <w:color w:val="auto"/>
          <w:sz w:val="21"/>
        </w:rPr>
        <w:tab/>
      </w:r>
    </w:p>
    <w:p>
      <w:pPr>
        <w:spacing w:after="0" w:line="276" w:lineRule="auto"/>
        <w:rPr>
          <w:rFonts w:ascii="宋体" w:hAnsi="宋体"/>
          <w:b/>
          <w:color w:val="auto"/>
          <w:sz w:val="21"/>
        </w:rPr>
      </w:pPr>
      <w:r>
        <w:rPr>
          <w:rFonts w:hint="eastAsia" w:ascii="宋体" w:hAnsi="宋体"/>
          <w:color w:val="auto"/>
          <w:sz w:val="21"/>
        </w:rPr>
        <w:tab/>
      </w:r>
    </w:p>
    <w:p/>
    <w:sectPr>
      <w:headerReference r:id="rId5" w:type="first"/>
      <w:footerReference r:id="rId7" w:type="first"/>
      <w:footerReference r:id="rId6" w:type="default"/>
      <w:pgSz w:w="11906" w:h="16838"/>
      <w:pgMar w:top="1985" w:right="1304" w:bottom="1418" w:left="1474" w:header="624" w:footer="340" w:gutter="0"/>
      <w:cols w:space="720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rainlab Now Light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Brainlab Now Medium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16" w:lineRule="auto"/>
      </w:pPr>
      <w:r>
        <w:separator/>
      </w:r>
    </w:p>
  </w:footnote>
  <w:footnote w:type="continuationSeparator" w:id="1">
    <w:p>
      <w:pPr>
        <w:spacing w:before="0" w:after="0" w:line="21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2A2DB8"/>
    <w:multiLevelType w:val="multilevel"/>
    <w:tmpl w:val="482A2DB8"/>
    <w:lvl w:ilvl="0" w:tentative="0">
      <w:start w:val="1"/>
      <w:numFmt w:val="bullet"/>
      <w:pStyle w:val="18"/>
      <w:lvlText w:val="●"/>
      <w:lvlJc w:val="left"/>
      <w:pPr>
        <w:ind w:left="340" w:hanging="340"/>
      </w:pPr>
      <w:rPr>
        <w:rFonts w:hint="default" w:ascii="Arial" w:hAnsi="Arial"/>
        <w:color w:val="EE2375" w:themeColor="accent1"/>
        <w:sz w:val="20"/>
        <w:szCs w:val="16"/>
        <w14:textFill>
          <w14:solidFill>
            <w14:schemeClr w14:val="accent1"/>
          </w14:solidFill>
        </w14:textFill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I4NDBjNzk3ZTA3YTU1NTMwZTkzNTA4MjU5NjA3MjkifQ=="/>
  </w:docVars>
  <w:rsids>
    <w:rsidRoot w:val="006E78BE"/>
    <w:rsid w:val="00016837"/>
    <w:rsid w:val="000E4D15"/>
    <w:rsid w:val="0011368C"/>
    <w:rsid w:val="001366D1"/>
    <w:rsid w:val="00160EBE"/>
    <w:rsid w:val="00172104"/>
    <w:rsid w:val="00184D74"/>
    <w:rsid w:val="002020CE"/>
    <w:rsid w:val="002A7811"/>
    <w:rsid w:val="00324AEA"/>
    <w:rsid w:val="004C313E"/>
    <w:rsid w:val="004C751E"/>
    <w:rsid w:val="0061659A"/>
    <w:rsid w:val="00645C06"/>
    <w:rsid w:val="0066681C"/>
    <w:rsid w:val="006E78BE"/>
    <w:rsid w:val="007F5C5A"/>
    <w:rsid w:val="008055FA"/>
    <w:rsid w:val="008237E4"/>
    <w:rsid w:val="008C7AF9"/>
    <w:rsid w:val="008D10B8"/>
    <w:rsid w:val="008E7901"/>
    <w:rsid w:val="00984DAB"/>
    <w:rsid w:val="00993ADC"/>
    <w:rsid w:val="009D45C8"/>
    <w:rsid w:val="009F0DD4"/>
    <w:rsid w:val="00A974A0"/>
    <w:rsid w:val="00AC4D0C"/>
    <w:rsid w:val="00BB284E"/>
    <w:rsid w:val="00BB2A26"/>
    <w:rsid w:val="00BE188F"/>
    <w:rsid w:val="00C4724E"/>
    <w:rsid w:val="00CF3D8F"/>
    <w:rsid w:val="00D24D02"/>
    <w:rsid w:val="00D4153C"/>
    <w:rsid w:val="00D520FC"/>
    <w:rsid w:val="00E51291"/>
    <w:rsid w:val="00E55604"/>
    <w:rsid w:val="00EA69EB"/>
    <w:rsid w:val="00F01F3E"/>
    <w:rsid w:val="00F54B57"/>
    <w:rsid w:val="00F62DFB"/>
    <w:rsid w:val="00FE5411"/>
    <w:rsid w:val="18A66AF7"/>
    <w:rsid w:val="65954994"/>
    <w:rsid w:val="73B1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60" w:line="216" w:lineRule="auto"/>
    </w:pPr>
    <w:rPr>
      <w:rFonts w:eastAsia="宋体" w:asciiTheme="minorHAnsi" w:hAnsiTheme="minorHAnsi" w:cstheme="minorBidi"/>
      <w:color w:val="434549" w:themeColor="text1"/>
      <w:sz w:val="20"/>
      <w:szCs w:val="22"/>
      <w:lang w:val="de-DE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z w:val="32"/>
      <w:szCs w:val="32"/>
      <w:lang w:val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40" w:after="160"/>
      <w:outlineLvl w:val="1"/>
    </w:pPr>
    <w:rPr>
      <w:rFonts w:asciiTheme="majorHAnsi" w:hAnsiTheme="majorHAnsi" w:eastAsiaTheme="majorEastAsia" w:cstheme="majorBidi"/>
      <w:szCs w:val="26"/>
      <w:lang w:val="en-US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536"/>
        <w:tab w:val="right" w:pos="9072"/>
      </w:tabs>
      <w:spacing w:after="0"/>
      <w:ind w:right="-567"/>
      <w:jc w:val="right"/>
    </w:pPr>
    <w:rPr>
      <w:sz w:val="12"/>
      <w:szCs w:val="12"/>
    </w:rPr>
  </w:style>
  <w:style w:type="paragraph" w:styleId="6">
    <w:name w:val="header"/>
    <w:basedOn w:val="1"/>
    <w:link w:val="12"/>
    <w:unhideWhenUsed/>
    <w:uiPriority w:val="99"/>
    <w:pPr>
      <w:tabs>
        <w:tab w:val="center" w:pos="4536"/>
        <w:tab w:val="right" w:pos="9072"/>
      </w:tabs>
      <w:spacing w:after="0"/>
      <w:ind w:right="-624"/>
      <w:jc w:val="right"/>
    </w:pPr>
    <w:rPr>
      <w:rFonts w:cs="Arial"/>
      <w:sz w:val="16"/>
      <w:szCs w:val="16"/>
    </w:rPr>
  </w:style>
  <w:style w:type="paragraph" w:styleId="7">
    <w:name w:val="Subtitle"/>
    <w:basedOn w:val="1"/>
    <w:next w:val="1"/>
    <w:link w:val="16"/>
    <w:qFormat/>
    <w:uiPriority w:val="11"/>
    <w:pPr>
      <w:spacing w:after="0"/>
    </w:pPr>
    <w:rPr>
      <w:rFonts w:asciiTheme="majorHAnsi" w:hAnsiTheme="majorHAnsi" w:eastAsiaTheme="minorEastAsia"/>
      <w:spacing w:val="15"/>
      <w:sz w:val="60"/>
    </w:rPr>
  </w:style>
  <w:style w:type="paragraph" w:styleId="8">
    <w:name w:val="Title"/>
    <w:basedOn w:val="1"/>
    <w:next w:val="1"/>
    <w:link w:val="15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color w:val="EE2375" w:themeColor="text2"/>
      <w:spacing w:val="-10"/>
      <w:kern w:val="28"/>
      <w:sz w:val="60"/>
      <w:szCs w:val="56"/>
      <w14:textFill>
        <w14:solidFill>
          <w14:schemeClr w14:val="tx2"/>
        </w14:solidFill>
      </w14:textFill>
    </w:rPr>
  </w:style>
  <w:style w:type="table" w:styleId="10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Header Char"/>
    <w:basedOn w:val="11"/>
    <w:link w:val="6"/>
    <w:qFormat/>
    <w:uiPriority w:val="99"/>
    <w:rPr>
      <w:rFonts w:cs="Arial"/>
      <w:color w:val="434549" w:themeColor="text1"/>
      <w:sz w:val="16"/>
      <w:szCs w:val="16"/>
      <w14:textFill>
        <w14:solidFill>
          <w14:schemeClr w14:val="tx1"/>
        </w14:solidFill>
      </w14:textFill>
    </w:rPr>
  </w:style>
  <w:style w:type="character" w:customStyle="1" w:styleId="13">
    <w:name w:val="Footer Char"/>
    <w:basedOn w:val="11"/>
    <w:link w:val="5"/>
    <w:qFormat/>
    <w:uiPriority w:val="99"/>
    <w:rPr>
      <w:color w:val="434549" w:themeColor="text1"/>
      <w:sz w:val="12"/>
      <w:szCs w:val="12"/>
      <w14:textFill>
        <w14:solidFill>
          <w14:schemeClr w14:val="tx1"/>
        </w14:solidFill>
      </w14:textFill>
    </w:rPr>
  </w:style>
  <w:style w:type="paragraph" w:styleId="14">
    <w:name w:val="No Spacing"/>
    <w:qFormat/>
    <w:uiPriority w:val="1"/>
    <w:pPr>
      <w:spacing w:after="0" w:line="216" w:lineRule="auto"/>
    </w:pPr>
    <w:rPr>
      <w:rFonts w:eastAsia="宋体" w:asciiTheme="minorHAnsi" w:hAnsiTheme="minorHAnsi" w:cstheme="minorBidi"/>
      <w:color w:val="434549" w:themeColor="text1"/>
      <w:sz w:val="21"/>
      <w:szCs w:val="22"/>
      <w:lang w:val="de-DE" w:eastAsia="zh-CN" w:bidi="ar-SA"/>
      <w14:textFill>
        <w14:solidFill>
          <w14:schemeClr w14:val="tx1"/>
        </w14:solidFill>
      </w14:textFill>
    </w:rPr>
  </w:style>
  <w:style w:type="character" w:customStyle="1" w:styleId="15">
    <w:name w:val="Title Char"/>
    <w:basedOn w:val="11"/>
    <w:link w:val="8"/>
    <w:qFormat/>
    <w:uiPriority w:val="10"/>
    <w:rPr>
      <w:rFonts w:asciiTheme="majorHAnsi" w:hAnsiTheme="majorHAnsi" w:eastAsiaTheme="majorEastAsia" w:cstheme="majorBidi"/>
      <w:color w:val="EE2375" w:themeColor="text2"/>
      <w:spacing w:val="-10"/>
      <w:kern w:val="28"/>
      <w:sz w:val="60"/>
      <w:szCs w:val="56"/>
      <w14:textFill>
        <w14:solidFill>
          <w14:schemeClr w14:val="tx2"/>
        </w14:solidFill>
      </w14:textFill>
    </w:rPr>
  </w:style>
  <w:style w:type="character" w:customStyle="1" w:styleId="16">
    <w:name w:val="Subtitle Char"/>
    <w:basedOn w:val="11"/>
    <w:link w:val="7"/>
    <w:qFormat/>
    <w:uiPriority w:val="11"/>
    <w:rPr>
      <w:rFonts w:asciiTheme="majorHAnsi" w:hAnsiTheme="majorHAnsi" w:eastAsiaTheme="minorEastAsia"/>
      <w:color w:val="434549" w:themeColor="text1"/>
      <w:spacing w:val="15"/>
      <w:sz w:val="60"/>
      <w14:textFill>
        <w14:solidFill>
          <w14:schemeClr w14:val="tx1"/>
        </w14:solidFill>
      </w14:textFill>
    </w:rPr>
  </w:style>
  <w:style w:type="character" w:customStyle="1" w:styleId="1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434549" w:themeColor="text1"/>
      <w:sz w:val="32"/>
      <w:szCs w:val="32"/>
      <w:lang w:val="en-US"/>
      <w14:textFill>
        <w14:solidFill>
          <w14:schemeClr w14:val="tx1"/>
        </w14:solidFill>
      </w14:textFill>
    </w:rPr>
  </w:style>
  <w:style w:type="paragraph" w:styleId="18">
    <w:name w:val="List Paragraph"/>
    <w:basedOn w:val="1"/>
    <w:qFormat/>
    <w:uiPriority w:val="34"/>
    <w:pPr>
      <w:numPr>
        <w:ilvl w:val="0"/>
        <w:numId w:val="1"/>
      </w:numPr>
    </w:pPr>
  </w:style>
  <w:style w:type="character" w:customStyle="1" w:styleId="19">
    <w:name w:val="Heading 2 Char"/>
    <w:basedOn w:val="11"/>
    <w:link w:val="3"/>
    <w:qFormat/>
    <w:uiPriority w:val="9"/>
    <w:rPr>
      <w:rFonts w:asciiTheme="majorHAnsi" w:hAnsiTheme="majorHAnsi" w:eastAsiaTheme="majorEastAsia" w:cstheme="majorBidi"/>
      <w:color w:val="434549" w:themeColor="text1"/>
      <w:sz w:val="21"/>
      <w:szCs w:val="26"/>
      <w:lang w:val="en-US"/>
      <w14:textFill>
        <w14:solidFill>
          <w14:schemeClr w14:val="tx1"/>
        </w14:solidFill>
      </w14:textFill>
    </w:rPr>
  </w:style>
  <w:style w:type="table" w:customStyle="1" w:styleId="20">
    <w:name w:val="Grid Table 5 Dark Accent 1"/>
    <w:basedOn w:val="9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D2E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E237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E237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E237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E2375" w:themeFill="accent1"/>
      </w:tcPr>
    </w:tblStylePr>
    <w:tblStylePr w:type="band1Vert">
      <w:tcPr>
        <w:shd w:val="clear" w:color="auto" w:fill="F8A6C7" w:themeFill="accent1" w:themeFillTint="66"/>
      </w:tcPr>
    </w:tblStylePr>
    <w:tblStylePr w:type="band1Horz">
      <w:tcPr>
        <w:shd w:val="clear" w:color="auto" w:fill="F8A6C7" w:themeFill="accent1" w:themeFillTint="66"/>
      </w:tcPr>
    </w:tblStylePr>
  </w:style>
  <w:style w:type="table" w:customStyle="1" w:styleId="21">
    <w:name w:val="Grid Table 5 Dark Accent 6"/>
    <w:basedOn w:val="9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8E7E8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F8C8F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8F8C8F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8F8C8F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8F8C8F" w:themeFill="accent6"/>
      </w:tcPr>
    </w:tblStylePr>
    <w:tblStylePr w:type="band1Vert">
      <w:tcPr>
        <w:shd w:val="clear" w:color="auto" w:fill="D2D0D2" w:themeFill="accent6" w:themeFillTint="66"/>
      </w:tcPr>
    </w:tblStylePr>
    <w:tblStylePr w:type="band1Horz">
      <w:tcPr>
        <w:shd w:val="clear" w:color="auto" w:fill="D2D0D2" w:themeFill="accent6" w:themeFillTint="66"/>
      </w:tcPr>
    </w:tblStylePr>
  </w:style>
  <w:style w:type="table" w:customStyle="1" w:styleId="22">
    <w:name w:val="Grid Table 5 Dark Accent 4"/>
    <w:basedOn w:val="9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DECD1" w:themeFill="accent4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AA21B" w:themeFill="accent4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AA21B" w:themeFill="accent4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AA21B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AA21B" w:themeFill="accent4"/>
      </w:tcPr>
    </w:tblStylePr>
    <w:tblStylePr w:type="band1Vert">
      <w:tcPr>
        <w:shd w:val="clear" w:color="auto" w:fill="FCD9A3" w:themeFill="accent4" w:themeFillTint="66"/>
      </w:tcPr>
    </w:tblStylePr>
    <w:tblStylePr w:type="band1Horz">
      <w:tcPr>
        <w:shd w:val="clear" w:color="auto" w:fill="FCD9A3" w:themeFill="accent4" w:themeFillTint="66"/>
      </w:tcPr>
    </w:tblStylePr>
  </w:style>
  <w:style w:type="table" w:customStyle="1" w:styleId="23">
    <w:name w:val="Grid Table 5 Dark Accent 2"/>
    <w:basedOn w:val="9"/>
    <w:qFormat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BFEAFF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83BF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83BF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83BF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83BF" w:themeFill="accent2"/>
      </w:tcPr>
    </w:tblStylePr>
    <w:tblStylePr w:type="band1Vert">
      <w:tcPr>
        <w:shd w:val="clear" w:color="auto" w:fill="7FD6FF" w:themeFill="accent2" w:themeFillTint="66"/>
      </w:tcPr>
    </w:tblStylePr>
    <w:tblStylePr w:type="band1Horz">
      <w:tcPr>
        <w:shd w:val="clear" w:color="auto" w:fill="7FD6FF" w:themeFill="accent2" w:themeFillTint="66"/>
      </w:tcPr>
    </w:tblStylePr>
  </w:style>
  <w:style w:type="table" w:customStyle="1" w:styleId="24">
    <w:name w:val="Grid Table 2 Accent 1"/>
    <w:basedOn w:val="9"/>
    <w:qFormat/>
    <w:uiPriority w:val="47"/>
    <w:pPr>
      <w:spacing w:after="0" w:line="240" w:lineRule="auto"/>
    </w:pPr>
    <w:tblPr>
      <w:tblBorders>
        <w:top w:val="single" w:color="F47AAC" w:themeColor="accent1" w:themeTint="99" w:sz="2" w:space="0"/>
        <w:bottom w:val="single" w:color="F47AAC" w:themeColor="accent1" w:themeTint="99" w:sz="2" w:space="0"/>
        <w:insideH w:val="single" w:color="F47AAC" w:themeColor="accent1" w:themeTint="99" w:sz="2" w:space="0"/>
        <w:insideV w:val="single" w:color="F47AAC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47AAC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47AAC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D2E3" w:themeFill="accent1" w:themeFillTint="33"/>
      </w:tcPr>
    </w:tblStylePr>
    <w:tblStylePr w:type="band1Horz">
      <w:tcPr>
        <w:shd w:val="clear" w:color="auto" w:fill="FBD2E3" w:themeFill="accent1" w:themeFillTint="33"/>
      </w:tcPr>
    </w:tblStylePr>
  </w:style>
  <w:style w:type="paragraph" w:customStyle="1" w:styleId="25">
    <w:name w:val="Table Text"/>
    <w:basedOn w:val="1"/>
    <w:qFormat/>
    <w:uiPriority w:val="0"/>
    <w:pPr>
      <w:spacing w:before="80" w:after="80"/>
    </w:pPr>
    <w:rPr>
      <w:bCs/>
      <w:lang w:val="en-US"/>
    </w:rPr>
  </w:style>
  <w:style w:type="table" w:customStyle="1" w:styleId="26">
    <w:name w:val="Grid Table 2"/>
    <w:basedOn w:val="9"/>
    <w:qFormat/>
    <w:uiPriority w:val="47"/>
    <w:pPr>
      <w:spacing w:after="0" w:line="240" w:lineRule="auto"/>
    </w:pPr>
    <w:tblPr>
      <w:tblBorders>
        <w:top w:val="single" w:color="8B8E94" w:themeColor="text1" w:themeTint="99" w:sz="2" w:space="0"/>
        <w:bottom w:val="single" w:color="8B8E94" w:themeColor="text1" w:themeTint="99" w:sz="2" w:space="0"/>
        <w:insideH w:val="single" w:color="8B8E94" w:themeColor="text1" w:themeTint="99" w:sz="2" w:space="0"/>
        <w:insideV w:val="single" w:color="8B8E94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8B8E94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8B8E94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8D9DB" w:themeFill="text1" w:themeFillTint="33"/>
      </w:tcPr>
    </w:tblStylePr>
    <w:tblStylePr w:type="band1Horz">
      <w:tcPr>
        <w:shd w:val="clear" w:color="auto" w:fill="D8D9DB" w:themeFill="text1" w:themeFillTint="33"/>
      </w:tcPr>
    </w:tblStylePr>
  </w:style>
  <w:style w:type="paragraph" w:customStyle="1" w:styleId="27">
    <w:name w:val="Table Head"/>
    <w:basedOn w:val="25"/>
    <w:qFormat/>
    <w:uiPriority w:val="0"/>
    <w:rPr>
      <w:rFonts w:asciiTheme="majorHAnsi" w:hAnsiTheme="majorHAns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Brainlab_Colors">
      <a:dk1>
        <a:srgbClr val="434549"/>
      </a:dk1>
      <a:lt1>
        <a:sysClr val="window" lastClr="FFFFFF"/>
      </a:lt1>
      <a:dk2>
        <a:srgbClr val="EE2375"/>
      </a:dk2>
      <a:lt2>
        <a:srgbClr val="FFFFFF"/>
      </a:lt2>
      <a:accent1>
        <a:srgbClr val="EE2375"/>
      </a:accent1>
      <a:accent2>
        <a:srgbClr val="0083BF"/>
      </a:accent2>
      <a:accent3>
        <a:srgbClr val="7F3F98"/>
      </a:accent3>
      <a:accent4>
        <a:srgbClr val="FAA21B"/>
      </a:accent4>
      <a:accent5>
        <a:srgbClr val="00A886"/>
      </a:accent5>
      <a:accent6>
        <a:srgbClr val="8F8C8F"/>
      </a:accent6>
      <a:hlink>
        <a:srgbClr val="EE2375"/>
      </a:hlink>
      <a:folHlink>
        <a:srgbClr val="434549"/>
      </a:folHlink>
    </a:clrScheme>
    <a:fontScheme name="Brainlab Letter">
      <a:majorFont>
        <a:latin typeface="Brainlab Now Medium"/>
        <a:ea typeface=""/>
        <a:cs typeface=""/>
      </a:majorFont>
      <a:minorFont>
        <a:latin typeface="Brainlab Now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1C5BA-A423-438C-94C3-B68923AB93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1537</Characters>
  <Lines>12</Lines>
  <Paragraphs>3</Paragraphs>
  <TotalTime>2</TotalTime>
  <ScaleCrop>false</ScaleCrop>
  <LinksUpToDate>false</LinksUpToDate>
  <CharactersWithSpaces>1803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2021-07-12T14:21:00Z</dcterms:created>
  <dcterms:modified xsi:type="dcterms:W3CDTF">2023-11-08T03:12:17Z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F5B0CEAD02404CAF87A456B0D2E6DD7C</vt:lpwstr>
  </property>
</Properties>
</file>